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70" w:rsidRDefault="00887470" w:rsidP="00887470">
      <w:pPr>
        <w:shd w:val="clear" w:color="auto" w:fill="FFFFFF" w:themeFill="background1"/>
        <w:jc w:val="center"/>
        <w:rPr>
          <w:rFonts w:ascii="Times New Roman" w:hAnsi="Times New Roman"/>
          <w:i/>
          <w:iCs/>
        </w:rPr>
      </w:pPr>
      <w:r>
        <w:rPr>
          <w:rFonts w:ascii="Times New Roman" w:hAnsi="Times New Roman"/>
          <w:iCs/>
        </w:rPr>
        <w:t xml:space="preserve">Biudžetinė </w:t>
      </w:r>
      <w:r w:rsidRPr="0066741B">
        <w:rPr>
          <w:rFonts w:ascii="Times New Roman" w:hAnsi="Times New Roman"/>
          <w:iCs/>
        </w:rPr>
        <w:t xml:space="preserve">įstaiga </w:t>
      </w:r>
      <w:r w:rsidRPr="007D082D">
        <w:rPr>
          <w:rFonts w:ascii="Times New Roman" w:hAnsi="Times New Roman"/>
          <w:iCs/>
          <w:shd w:val="clear" w:color="auto" w:fill="FFFFFF" w:themeFill="background1"/>
        </w:rPr>
        <w:t>,,Čižiūnų socialinių paslaugų centras</w:t>
      </w:r>
      <w:r w:rsidRPr="007D082D">
        <w:rPr>
          <w:rFonts w:ascii="Times New Roman" w:hAnsi="Times New Roman"/>
          <w:iCs/>
        </w:rPr>
        <w:t>“</w:t>
      </w:r>
    </w:p>
    <w:p w:rsidR="00887470" w:rsidRPr="00084BC0" w:rsidRDefault="00887470" w:rsidP="00887470">
      <w:pPr>
        <w:jc w:val="center"/>
        <w:rPr>
          <w:rFonts w:ascii="Times New Roman" w:hAnsi="Times New Roman"/>
          <w:iCs/>
        </w:rPr>
      </w:pPr>
      <w:proofErr w:type="gramStart"/>
      <w:r w:rsidRPr="00084BC0">
        <w:rPr>
          <w:rFonts w:ascii="Times New Roman" w:hAnsi="Times New Roman"/>
          <w:iCs/>
        </w:rPr>
        <w:t>302315396, Vilties – 2, Čižiūnai, Aukštadvario sen. Trakų r. sav.</w:t>
      </w:r>
      <w:proofErr w:type="gramEnd"/>
      <w:r w:rsidRPr="00084BC0">
        <w:rPr>
          <w:rFonts w:ascii="Times New Roman" w:hAnsi="Times New Roman"/>
          <w:iCs/>
        </w:rPr>
        <w:t xml:space="preserve"> </w:t>
      </w:r>
    </w:p>
    <w:p w:rsidR="00887470" w:rsidRPr="003B6CA8" w:rsidRDefault="00887470" w:rsidP="003B6CA8">
      <w:pPr>
        <w:jc w:val="center"/>
        <w:rPr>
          <w:rFonts w:ascii="Times New Roman" w:hAnsi="Times New Roman"/>
          <w:b/>
          <w:bCs/>
          <w:sz w:val="28"/>
          <w:szCs w:val="28"/>
        </w:rPr>
      </w:pPr>
      <w:r w:rsidRPr="00084BC0">
        <w:rPr>
          <w:rFonts w:ascii="Times New Roman" w:hAnsi="Times New Roman"/>
          <w:b/>
          <w:bCs/>
          <w:sz w:val="28"/>
          <w:szCs w:val="28"/>
        </w:rPr>
        <w:t xml:space="preserve"> 2</w:t>
      </w:r>
      <w:r w:rsidRPr="00084BC0">
        <w:rPr>
          <w:rFonts w:ascii="Times New Roman" w:hAnsi="Times New Roman"/>
          <w:b/>
          <w:bCs/>
          <w:sz w:val="28"/>
          <w:szCs w:val="28"/>
          <w:shd w:val="clear" w:color="auto" w:fill="FFFFFF" w:themeFill="background1"/>
        </w:rPr>
        <w:t>014</w:t>
      </w:r>
      <w:r w:rsidRPr="007D082D">
        <w:rPr>
          <w:rFonts w:ascii="Times New Roman" w:hAnsi="Times New Roman"/>
          <w:b/>
          <w:bCs/>
          <w:sz w:val="28"/>
          <w:szCs w:val="28"/>
          <w:shd w:val="clear" w:color="auto" w:fill="FFFFFF" w:themeFill="background1"/>
        </w:rPr>
        <w:t xml:space="preserve"> </w:t>
      </w:r>
      <w:r>
        <w:rPr>
          <w:rFonts w:ascii="Times New Roman" w:hAnsi="Times New Roman"/>
          <w:b/>
          <w:bCs/>
          <w:sz w:val="28"/>
          <w:szCs w:val="28"/>
        </w:rPr>
        <w:t>METŲ FINANSINIŲ ATASKAITŲ RINKINIO AIŠKINAMASIS RAŠTAS</w:t>
      </w:r>
    </w:p>
    <w:p w:rsidR="00887470" w:rsidRPr="00084BC0" w:rsidRDefault="00887470" w:rsidP="00887470">
      <w:pPr>
        <w:jc w:val="center"/>
        <w:rPr>
          <w:rFonts w:ascii="Times New Roman" w:hAnsi="Times New Roman"/>
          <w:iCs/>
        </w:rPr>
      </w:pPr>
      <w:proofErr w:type="gramStart"/>
      <w:r w:rsidRPr="00084BC0">
        <w:rPr>
          <w:rFonts w:ascii="Times New Roman" w:hAnsi="Times New Roman"/>
          <w:iCs/>
        </w:rPr>
        <w:t>20</w:t>
      </w:r>
      <w:r w:rsidRPr="00084BC0">
        <w:rPr>
          <w:rFonts w:ascii="Times New Roman" w:hAnsi="Times New Roman"/>
          <w:iCs/>
          <w:shd w:val="clear" w:color="auto" w:fill="FFFFFF" w:themeFill="background1"/>
        </w:rPr>
        <w:t xml:space="preserve">14 </w:t>
      </w:r>
      <w:r w:rsidRPr="00084BC0">
        <w:rPr>
          <w:rFonts w:ascii="Times New Roman" w:hAnsi="Times New Roman"/>
          <w:iCs/>
        </w:rPr>
        <w:t>m. gruodžio 31 d.</w:t>
      </w:r>
      <w:proofErr w:type="gramEnd"/>
    </w:p>
    <w:p w:rsidR="00887470" w:rsidRDefault="00887470" w:rsidP="002637D3">
      <w:pPr>
        <w:pStyle w:val="Antrat1"/>
        <w:numPr>
          <w:ilvl w:val="0"/>
          <w:numId w:val="4"/>
        </w:numPr>
        <w:jc w:val="center"/>
        <w:rPr>
          <w:b/>
          <w:sz w:val="28"/>
          <w:szCs w:val="28"/>
        </w:rPr>
      </w:pPr>
      <w:r w:rsidRPr="003B6CA8">
        <w:rPr>
          <w:b/>
          <w:sz w:val="28"/>
          <w:szCs w:val="28"/>
        </w:rPr>
        <w:t>BENDROJI DALIS</w:t>
      </w:r>
    </w:p>
    <w:p w:rsidR="002637D3" w:rsidRPr="002637D3" w:rsidRDefault="002637D3" w:rsidP="002637D3"/>
    <w:p w:rsidR="002637D3" w:rsidRDefault="00887470" w:rsidP="00887470">
      <w:pPr>
        <w:rPr>
          <w:rFonts w:ascii="Times New Roman" w:hAnsi="Times New Roman"/>
          <w:b/>
          <w:bCs/>
        </w:rPr>
      </w:pPr>
      <w:r>
        <w:rPr>
          <w:rFonts w:ascii="Times New Roman" w:hAnsi="Times New Roman"/>
          <w:b/>
          <w:bCs/>
        </w:rPr>
        <w:t xml:space="preserve">1. </w:t>
      </w:r>
      <w:proofErr w:type="spellStart"/>
      <w:r>
        <w:rPr>
          <w:rFonts w:ascii="Times New Roman" w:hAnsi="Times New Roman"/>
          <w:b/>
          <w:bCs/>
        </w:rPr>
        <w:t>Duomenys</w:t>
      </w:r>
      <w:proofErr w:type="spellEnd"/>
      <w:r>
        <w:rPr>
          <w:rFonts w:ascii="Times New Roman" w:hAnsi="Times New Roman"/>
          <w:b/>
          <w:bCs/>
        </w:rPr>
        <w:t xml:space="preserve"> </w:t>
      </w:r>
      <w:proofErr w:type="spellStart"/>
      <w:r>
        <w:rPr>
          <w:rFonts w:ascii="Times New Roman" w:hAnsi="Times New Roman"/>
          <w:b/>
          <w:bCs/>
        </w:rPr>
        <w:t>apie</w:t>
      </w:r>
      <w:proofErr w:type="spellEnd"/>
      <w:r>
        <w:rPr>
          <w:rFonts w:ascii="Times New Roman" w:hAnsi="Times New Roman"/>
          <w:b/>
          <w:bCs/>
        </w:rPr>
        <w:t xml:space="preserve"> </w:t>
      </w:r>
      <w:proofErr w:type="spellStart"/>
      <w:r>
        <w:rPr>
          <w:rFonts w:ascii="Times New Roman" w:hAnsi="Times New Roman"/>
          <w:b/>
          <w:bCs/>
        </w:rPr>
        <w:t>šį</w:t>
      </w:r>
      <w:proofErr w:type="spellEnd"/>
      <w:r>
        <w:rPr>
          <w:rFonts w:ascii="Times New Roman" w:hAnsi="Times New Roman"/>
          <w:b/>
          <w:bCs/>
        </w:rPr>
        <w:t xml:space="preserve"> finansinių ataskaitų rinkinį parengusį viešojo sektoriaus </w:t>
      </w:r>
      <w:proofErr w:type="spellStart"/>
      <w:r>
        <w:rPr>
          <w:rFonts w:ascii="Times New Roman" w:hAnsi="Times New Roman"/>
          <w:b/>
          <w:bCs/>
        </w:rPr>
        <w:t>subjektą</w:t>
      </w:r>
      <w:proofErr w:type="spellEnd"/>
      <w:r>
        <w:rPr>
          <w:rFonts w:ascii="Times New Roman" w:hAnsi="Times New Roman"/>
          <w:b/>
          <w:bCs/>
        </w:rPr>
        <w:t>.</w:t>
      </w:r>
    </w:p>
    <w:p w:rsidR="00887470" w:rsidRPr="00084BC0" w:rsidRDefault="00887470" w:rsidP="00084BC0">
      <w:pPr>
        <w:jc w:val="both"/>
        <w:rPr>
          <w:rFonts w:ascii="Times New Roman" w:hAnsi="Times New Roman"/>
          <w:b/>
          <w:bCs/>
        </w:rPr>
      </w:pPr>
      <w:proofErr w:type="spellStart"/>
      <w:proofErr w:type="gramStart"/>
      <w:r w:rsidRPr="00084BC0">
        <w:rPr>
          <w:rFonts w:ascii="Times New Roman" w:hAnsi="Times New Roman"/>
          <w:iCs/>
          <w:shd w:val="clear" w:color="auto" w:fill="FFFFFF" w:themeFill="background1"/>
        </w:rPr>
        <w:t>Čižiūnų</w:t>
      </w:r>
      <w:proofErr w:type="spellEnd"/>
      <w:r w:rsidRPr="00084BC0">
        <w:rPr>
          <w:rFonts w:ascii="Times New Roman" w:hAnsi="Times New Roman"/>
          <w:iCs/>
          <w:shd w:val="clear" w:color="auto" w:fill="FFFFFF" w:themeFill="background1"/>
        </w:rPr>
        <w:t xml:space="preserve"> </w:t>
      </w:r>
      <w:proofErr w:type="spellStart"/>
      <w:r w:rsidRPr="00084BC0">
        <w:rPr>
          <w:rFonts w:ascii="Times New Roman" w:hAnsi="Times New Roman"/>
          <w:iCs/>
          <w:shd w:val="clear" w:color="auto" w:fill="FFFFFF" w:themeFill="background1"/>
        </w:rPr>
        <w:t>socialinių</w:t>
      </w:r>
      <w:proofErr w:type="spellEnd"/>
      <w:r w:rsidRPr="00084BC0">
        <w:rPr>
          <w:rFonts w:ascii="Times New Roman" w:hAnsi="Times New Roman"/>
          <w:iCs/>
          <w:shd w:val="clear" w:color="auto" w:fill="FFFFFF" w:themeFill="background1"/>
        </w:rPr>
        <w:t xml:space="preserve"> </w:t>
      </w:r>
      <w:proofErr w:type="spellStart"/>
      <w:r w:rsidRPr="00084BC0">
        <w:rPr>
          <w:rFonts w:ascii="Times New Roman" w:hAnsi="Times New Roman"/>
          <w:iCs/>
          <w:shd w:val="clear" w:color="auto" w:fill="FFFFFF" w:themeFill="background1"/>
        </w:rPr>
        <w:t>paslaugų</w:t>
      </w:r>
      <w:proofErr w:type="spellEnd"/>
      <w:r w:rsidRPr="00084BC0">
        <w:rPr>
          <w:rFonts w:ascii="Times New Roman" w:hAnsi="Times New Roman"/>
          <w:iCs/>
          <w:shd w:val="clear" w:color="auto" w:fill="FFFFFF" w:themeFill="background1"/>
        </w:rPr>
        <w:t xml:space="preserve"> </w:t>
      </w:r>
      <w:proofErr w:type="spellStart"/>
      <w:r w:rsidRPr="00084BC0">
        <w:rPr>
          <w:rFonts w:ascii="Times New Roman" w:hAnsi="Times New Roman"/>
          <w:iCs/>
          <w:shd w:val="clear" w:color="auto" w:fill="FFFFFF" w:themeFill="background1"/>
        </w:rPr>
        <w:t>centras</w:t>
      </w:r>
      <w:proofErr w:type="spellEnd"/>
      <w:r w:rsidRPr="00084BC0">
        <w:rPr>
          <w:rFonts w:ascii="Times New Roman" w:hAnsi="Times New Roman"/>
          <w:shd w:val="clear" w:color="auto" w:fill="FFFFFF" w:themeFill="background1"/>
        </w:rPr>
        <w:t xml:space="preserve"> (</w:t>
      </w:r>
      <w:proofErr w:type="spellStart"/>
      <w:r w:rsidRPr="00084BC0">
        <w:rPr>
          <w:rFonts w:ascii="Times New Roman" w:hAnsi="Times New Roman"/>
          <w:shd w:val="clear" w:color="auto" w:fill="FFFFFF" w:themeFill="background1"/>
        </w:rPr>
        <w:t>toliau</w:t>
      </w:r>
      <w:proofErr w:type="spellEnd"/>
      <w:r w:rsidRPr="00084BC0">
        <w:rPr>
          <w:rFonts w:ascii="Times New Roman" w:hAnsi="Times New Roman"/>
          <w:shd w:val="clear" w:color="auto" w:fill="FFFFFF" w:themeFill="background1"/>
        </w:rPr>
        <w:t xml:space="preserve"> – centras) yra viešasis juridinis asmuo, turintis sąskaitą banke ir antspaudą su Lietuvos valstybės herbu ir savo pavadinimu.</w:t>
      </w:r>
      <w:proofErr w:type="gramEnd"/>
      <w:r w:rsidRPr="00084BC0">
        <w:rPr>
          <w:rFonts w:ascii="Times New Roman" w:hAnsi="Times New Roman"/>
          <w:shd w:val="clear" w:color="auto" w:fill="FFFFFF" w:themeFill="background1"/>
        </w:rPr>
        <w:t xml:space="preserve"> </w:t>
      </w:r>
      <w:proofErr w:type="gramStart"/>
      <w:r w:rsidRPr="00084BC0">
        <w:rPr>
          <w:rFonts w:ascii="Times New Roman" w:hAnsi="Times New Roman"/>
          <w:shd w:val="clear" w:color="auto" w:fill="FFFFFF" w:themeFill="background1"/>
        </w:rPr>
        <w:t>Centro buveinės adresas – Vilties g-2, Čižiūnų k. Aukštadvario sen. Trakų r. sav.</w:t>
      </w:r>
      <w:proofErr w:type="gramEnd"/>
      <w:r w:rsidRPr="00084BC0">
        <w:rPr>
          <w:rFonts w:ascii="Times New Roman" w:hAnsi="Times New Roman"/>
          <w:shd w:val="clear" w:color="auto" w:fill="FFFFFF" w:themeFill="background1"/>
        </w:rPr>
        <w:t xml:space="preserve"> </w:t>
      </w:r>
      <w:proofErr w:type="gramStart"/>
      <w:r w:rsidRPr="00084BC0">
        <w:rPr>
          <w:rFonts w:ascii="Times New Roman" w:hAnsi="Times New Roman"/>
          <w:shd w:val="clear" w:color="auto" w:fill="FFFFFF" w:themeFill="background1"/>
        </w:rPr>
        <w:t>Įstaigos kodas 302315396, savininko funkcijas įgyvendinanti institucija Trakų rajono savivaldybės taryba</w:t>
      </w:r>
      <w:r w:rsidRPr="00084BC0">
        <w:rPr>
          <w:rFonts w:ascii="Times New Roman" w:hAnsi="Times New Roman"/>
        </w:rPr>
        <w:t>.</w:t>
      </w:r>
      <w:proofErr w:type="gramEnd"/>
      <w:r w:rsidRPr="00084BC0">
        <w:rPr>
          <w:rFonts w:ascii="Times New Roman" w:hAnsi="Times New Roman"/>
        </w:rPr>
        <w:t xml:space="preserve"> Pagrindinė veikla – Socialinio darbo veikla, susijusi su apgyvendinimu, socialinio darbo veikla, nesusijusi su apgyvendinimu, dienos centro veiklos </w:t>
      </w:r>
      <w:proofErr w:type="gramStart"/>
      <w:r w:rsidRPr="00084BC0">
        <w:rPr>
          <w:rFonts w:ascii="Times New Roman" w:hAnsi="Times New Roman"/>
        </w:rPr>
        <w:t>paslaugų  tiekimas</w:t>
      </w:r>
      <w:proofErr w:type="gramEnd"/>
      <w:r w:rsidRPr="00084BC0">
        <w:rPr>
          <w:rFonts w:ascii="Times New Roman" w:hAnsi="Times New Roman"/>
        </w:rPr>
        <w:t>.</w:t>
      </w:r>
    </w:p>
    <w:p w:rsidR="00887470" w:rsidRPr="00084BC0" w:rsidRDefault="00887470" w:rsidP="00887470">
      <w:pPr>
        <w:rPr>
          <w:rFonts w:ascii="Times New Roman" w:hAnsi="Times New Roman"/>
          <w:b/>
          <w:bCs/>
          <w:lang w:val="de-DE"/>
        </w:rPr>
      </w:pPr>
      <w:r w:rsidRPr="00084BC0">
        <w:rPr>
          <w:rFonts w:ascii="Times New Roman" w:hAnsi="Times New Roman"/>
          <w:b/>
          <w:bCs/>
          <w:lang w:val="de-DE"/>
        </w:rPr>
        <w:t>2. Finansiniai metai</w:t>
      </w:r>
    </w:p>
    <w:p w:rsidR="00887470" w:rsidRPr="00084BC0" w:rsidRDefault="00887470" w:rsidP="00887470">
      <w:pPr>
        <w:rPr>
          <w:rFonts w:ascii="Times New Roman" w:hAnsi="Times New Roman"/>
          <w:lang w:val="de-DE"/>
        </w:rPr>
      </w:pPr>
      <w:r w:rsidRPr="00084BC0">
        <w:rPr>
          <w:rFonts w:ascii="Times New Roman" w:hAnsi="Times New Roman"/>
          <w:lang w:val="de-DE"/>
        </w:rPr>
        <w:t>Įstaigos finansiniai metai prasideda sausio 1 d.  ir baigiasi gruodžio 31 d.</w:t>
      </w:r>
    </w:p>
    <w:p w:rsidR="00887470" w:rsidRPr="00084BC0" w:rsidRDefault="00887470" w:rsidP="00887470">
      <w:pPr>
        <w:rPr>
          <w:rFonts w:ascii="Times New Roman" w:hAnsi="Times New Roman"/>
          <w:b/>
          <w:bCs/>
          <w:lang w:val="de-DE"/>
        </w:rPr>
      </w:pPr>
      <w:r w:rsidRPr="00084BC0">
        <w:rPr>
          <w:rFonts w:ascii="Times New Roman" w:hAnsi="Times New Roman"/>
          <w:b/>
          <w:bCs/>
          <w:lang w:val="de-DE"/>
        </w:rPr>
        <w:t>3. Informacija apie kontroliuojamus, asocijuotus ir kitus subjektus</w:t>
      </w:r>
    </w:p>
    <w:p w:rsidR="00887470" w:rsidRPr="00084BC0" w:rsidRDefault="00887470" w:rsidP="00887470">
      <w:pPr>
        <w:ind w:firstLine="709"/>
        <w:rPr>
          <w:rFonts w:ascii="Times New Roman" w:hAnsi="Times New Roman"/>
          <w:sz w:val="28"/>
          <w:szCs w:val="28"/>
          <w:lang w:val="de-DE"/>
        </w:rPr>
      </w:pPr>
      <w:r w:rsidRPr="00084BC0">
        <w:rPr>
          <w:rFonts w:ascii="Times New Roman" w:hAnsi="Times New Roman"/>
          <w:sz w:val="28"/>
          <w:szCs w:val="28"/>
          <w:lang w:val="de-DE"/>
        </w:rPr>
        <w:t xml:space="preserve">Įstaiga kontroliuojamų, asocijuotų ar kitaip administruojamų subjektų neturi. </w:t>
      </w:r>
    </w:p>
    <w:p w:rsidR="00887470" w:rsidRPr="00084BC0" w:rsidRDefault="00887470" w:rsidP="00887470">
      <w:pPr>
        <w:rPr>
          <w:rFonts w:ascii="Times New Roman" w:hAnsi="Times New Roman"/>
          <w:b/>
          <w:bCs/>
          <w:lang w:val="de-DE"/>
        </w:rPr>
      </w:pPr>
      <w:r w:rsidRPr="00084BC0">
        <w:rPr>
          <w:rFonts w:ascii="Times New Roman" w:hAnsi="Times New Roman"/>
          <w:b/>
          <w:bCs/>
          <w:lang w:val="de-DE"/>
        </w:rPr>
        <w:t>4. Informacija apie įstaigos filialus ar struktūrinius vienetus</w:t>
      </w:r>
    </w:p>
    <w:p w:rsidR="00887470" w:rsidRPr="002637D3" w:rsidRDefault="00887470" w:rsidP="002637D3">
      <w:pPr>
        <w:ind w:firstLine="709"/>
        <w:rPr>
          <w:rFonts w:ascii="Times New Roman" w:hAnsi="Times New Roman"/>
        </w:rPr>
      </w:pPr>
      <w:proofErr w:type="gramStart"/>
      <w:r>
        <w:rPr>
          <w:rFonts w:ascii="Times New Roman" w:hAnsi="Times New Roman"/>
        </w:rPr>
        <w:t>Įstaiga filialų ar struktūrinių vienetų neturi.</w:t>
      </w:r>
      <w:proofErr w:type="gramEnd"/>
      <w:r>
        <w:rPr>
          <w:rFonts w:ascii="Times New Roman" w:hAnsi="Times New Roman"/>
        </w:rPr>
        <w:t xml:space="preserve"> </w:t>
      </w:r>
    </w:p>
    <w:p w:rsidR="00887470" w:rsidRDefault="00887470" w:rsidP="00887470">
      <w:pPr>
        <w:rPr>
          <w:rFonts w:ascii="Times New Roman" w:hAnsi="Times New Roman"/>
          <w:b/>
        </w:rPr>
      </w:pPr>
      <w:r>
        <w:rPr>
          <w:rFonts w:ascii="Times New Roman" w:hAnsi="Times New Roman"/>
          <w:b/>
        </w:rPr>
        <w:t>5. Informacija apie įstaigos vidutinį darbuotojų skaičių per ataskaitinį laikotarpį</w:t>
      </w:r>
    </w:p>
    <w:p w:rsidR="00887470" w:rsidRPr="00B32BE1" w:rsidRDefault="00887470" w:rsidP="00887470">
      <w:pPr>
        <w:rPr>
          <w:rFonts w:ascii="Times New Roman" w:hAnsi="Times New Roman"/>
          <w:sz w:val="24"/>
          <w:szCs w:val="24"/>
        </w:rPr>
      </w:pPr>
      <w:r>
        <w:rPr>
          <w:rFonts w:ascii="Times New Roman" w:hAnsi="Times New Roman"/>
        </w:rPr>
        <w:t xml:space="preserve">Įstaigoje per </w:t>
      </w:r>
      <w:r w:rsidRPr="007D082D">
        <w:rPr>
          <w:rFonts w:ascii="Times New Roman" w:hAnsi="Times New Roman"/>
          <w:shd w:val="clear" w:color="auto" w:fill="FFFFFF" w:themeFill="background1"/>
        </w:rPr>
        <w:t>2014 m</w:t>
      </w:r>
      <w:r>
        <w:rPr>
          <w:rFonts w:ascii="Times New Roman" w:hAnsi="Times New Roman"/>
        </w:rPr>
        <w:t xml:space="preserve">etus vidutiniškai </w:t>
      </w:r>
      <w:r w:rsidRPr="007D082D">
        <w:rPr>
          <w:rFonts w:ascii="Times New Roman" w:hAnsi="Times New Roman"/>
          <w:shd w:val="clear" w:color="auto" w:fill="FFFFFF" w:themeFill="background1"/>
        </w:rPr>
        <w:t xml:space="preserve">dirbo </w:t>
      </w:r>
      <w:r w:rsidR="00246C4B">
        <w:rPr>
          <w:rFonts w:ascii="Times New Roman" w:hAnsi="Times New Roman"/>
          <w:i/>
          <w:shd w:val="clear" w:color="auto" w:fill="FFFFFF" w:themeFill="background1"/>
        </w:rPr>
        <w:t>30</w:t>
      </w:r>
      <w:r>
        <w:rPr>
          <w:rFonts w:ascii="Times New Roman" w:hAnsi="Times New Roman"/>
        </w:rPr>
        <w:t xml:space="preserve"> darbuotojų.</w:t>
      </w:r>
    </w:p>
    <w:p w:rsidR="00887470" w:rsidRDefault="00887470" w:rsidP="00887470">
      <w:pPr>
        <w:ind w:firstLine="360"/>
        <w:jc w:val="center"/>
        <w:rPr>
          <w:rFonts w:ascii="Times New Roman" w:hAnsi="Times New Roman"/>
          <w:b/>
          <w:bCs/>
          <w:caps/>
          <w:sz w:val="28"/>
          <w:szCs w:val="28"/>
        </w:rPr>
      </w:pPr>
      <w:r>
        <w:rPr>
          <w:rFonts w:ascii="Times New Roman" w:hAnsi="Times New Roman"/>
          <w:b/>
          <w:bCs/>
          <w:sz w:val="28"/>
          <w:szCs w:val="28"/>
        </w:rPr>
        <w:t xml:space="preserve">II. </w:t>
      </w:r>
      <w:r>
        <w:rPr>
          <w:rFonts w:ascii="Times New Roman" w:hAnsi="Times New Roman"/>
          <w:b/>
          <w:bCs/>
          <w:caps/>
          <w:sz w:val="28"/>
          <w:szCs w:val="28"/>
        </w:rPr>
        <w:t>Apskaitos politika</w:t>
      </w:r>
    </w:p>
    <w:p w:rsidR="00887470" w:rsidRDefault="00887470" w:rsidP="00887470">
      <w:pPr>
        <w:rPr>
          <w:rFonts w:ascii="Times New Roman" w:hAnsi="Times New Roman"/>
        </w:rPr>
      </w:pPr>
      <w:r>
        <w:rPr>
          <w:rFonts w:ascii="Times New Roman" w:hAnsi="Times New Roman"/>
        </w:rPr>
        <w:t>Įstaigos finansinių ataskaitų rinkinys parengtas vadovaujantis VSAFAS reikalavimais. Ataskaitų straipsnių kurie neatitiktų VSAFAS reikalavimų nėra.</w:t>
      </w:r>
    </w:p>
    <w:p w:rsidR="00887470" w:rsidRDefault="00887470" w:rsidP="00887470">
      <w:pPr>
        <w:rPr>
          <w:rFonts w:ascii="Times New Roman" w:hAnsi="Times New Roman"/>
        </w:rPr>
      </w:pPr>
      <w:r>
        <w:rPr>
          <w:rFonts w:ascii="Times New Roman" w:hAnsi="Times New Roman"/>
        </w:rPr>
        <w:t>Įstaiga apskaitą tvarko ir finansinių ataskaitų rinkinį rengia pagal šiuos apskaitą reglamentuojančius teisės aktus:</w:t>
      </w:r>
    </w:p>
    <w:p w:rsidR="00887470" w:rsidRDefault="00887470" w:rsidP="00887470">
      <w:pPr>
        <w:numPr>
          <w:ilvl w:val="0"/>
          <w:numId w:val="2"/>
        </w:numPr>
        <w:rPr>
          <w:rFonts w:ascii="Times New Roman" w:hAnsi="Times New Roman"/>
        </w:rPr>
      </w:pPr>
      <w:r>
        <w:rPr>
          <w:rFonts w:ascii="Times New Roman" w:hAnsi="Times New Roman"/>
        </w:rPr>
        <w:t>Viešojo sektoriaus apskaitos ir finansinės atskaitomybės standartai;</w:t>
      </w:r>
    </w:p>
    <w:p w:rsidR="00887470" w:rsidRDefault="00887470" w:rsidP="00887470">
      <w:pPr>
        <w:rPr>
          <w:rFonts w:ascii="Times New Roman" w:hAnsi="Times New Roman"/>
        </w:rPr>
      </w:pPr>
      <w:r>
        <w:rPr>
          <w:rFonts w:ascii="Times New Roman" w:hAnsi="Times New Roman"/>
        </w:rPr>
        <w:t>- Lietuvos Respublikos buhalterinės apskaitos įstatymas;</w:t>
      </w:r>
    </w:p>
    <w:p w:rsidR="00887470" w:rsidRDefault="00887470" w:rsidP="00887470">
      <w:pPr>
        <w:rPr>
          <w:rFonts w:ascii="Times New Roman" w:hAnsi="Times New Roman"/>
        </w:rPr>
      </w:pPr>
      <w:r>
        <w:rPr>
          <w:rFonts w:ascii="Times New Roman" w:hAnsi="Times New Roman"/>
        </w:rPr>
        <w:t>- Lietuvos Respublikos viešojo sektoriaus atskaitomybės įstatymas;</w:t>
      </w:r>
    </w:p>
    <w:p w:rsidR="00887470" w:rsidRDefault="00887470" w:rsidP="00887470">
      <w:pPr>
        <w:rPr>
          <w:rFonts w:ascii="Times New Roman" w:hAnsi="Times New Roman"/>
        </w:rPr>
      </w:pPr>
      <w:r>
        <w:rPr>
          <w:rFonts w:ascii="Times New Roman" w:hAnsi="Times New Roman"/>
        </w:rPr>
        <w:t>- Lietuvos Respublikos biudžetinių įstaigų įstatymas</w:t>
      </w:r>
    </w:p>
    <w:p w:rsidR="00887470" w:rsidRDefault="00887470" w:rsidP="00887470">
      <w:pPr>
        <w:rPr>
          <w:rFonts w:ascii="Times New Roman" w:hAnsi="Times New Roman"/>
        </w:rPr>
      </w:pPr>
      <w:r>
        <w:rPr>
          <w:rFonts w:ascii="Times New Roman" w:hAnsi="Times New Roman"/>
        </w:rPr>
        <w:lastRenderedPageBreak/>
        <w:t>Įstaigos apskaitos politikoje taikomi būdai, kurie leidžia tiksliai ir teisingai fiksuoti įstaigos vykdomas ūkines operacijas ir objektyviai atspindėti įstaigos finansinę būklę bei veiklos rezultatus.</w:t>
      </w:r>
    </w:p>
    <w:p w:rsidR="00887470" w:rsidRDefault="00887470" w:rsidP="00887470">
      <w:pPr>
        <w:rPr>
          <w:rFonts w:ascii="Times New Roman" w:hAnsi="Times New Roman"/>
        </w:rPr>
      </w:pPr>
      <w:r>
        <w:rPr>
          <w:rFonts w:ascii="Times New Roman" w:hAnsi="Times New Roman"/>
        </w:rPr>
        <w:t>Įstaiga, tvarkydama apskaitą ir sudarydama finansinių ataskaitų rinkinį, vadovaujasi apskaitos principais, kurie yra nurodyti 1 VSAFAS „Finansinių ataskaitų rinkinio pateikimas“:</w:t>
      </w:r>
    </w:p>
    <w:p w:rsidR="00887470" w:rsidRDefault="00887470" w:rsidP="00887470">
      <w:pPr>
        <w:numPr>
          <w:ilvl w:val="0"/>
          <w:numId w:val="3"/>
        </w:numPr>
        <w:rPr>
          <w:rFonts w:ascii="Times New Roman" w:hAnsi="Times New Roman"/>
        </w:rPr>
      </w:pPr>
      <w:r>
        <w:rPr>
          <w:rFonts w:ascii="Times New Roman" w:hAnsi="Times New Roman"/>
        </w:rPr>
        <w:t>Subjekto</w:t>
      </w:r>
    </w:p>
    <w:p w:rsidR="00887470" w:rsidRDefault="00887470" w:rsidP="00887470">
      <w:pPr>
        <w:numPr>
          <w:ilvl w:val="0"/>
          <w:numId w:val="3"/>
        </w:numPr>
        <w:rPr>
          <w:rFonts w:ascii="Times New Roman" w:hAnsi="Times New Roman"/>
        </w:rPr>
      </w:pPr>
      <w:r>
        <w:rPr>
          <w:rFonts w:ascii="Times New Roman" w:hAnsi="Times New Roman"/>
        </w:rPr>
        <w:t>Veiklos tęstinumo</w:t>
      </w:r>
    </w:p>
    <w:p w:rsidR="00887470" w:rsidRDefault="00887470" w:rsidP="00887470">
      <w:pPr>
        <w:numPr>
          <w:ilvl w:val="0"/>
          <w:numId w:val="3"/>
        </w:numPr>
        <w:rPr>
          <w:rFonts w:ascii="Times New Roman" w:hAnsi="Times New Roman"/>
        </w:rPr>
      </w:pPr>
      <w:r>
        <w:rPr>
          <w:rFonts w:ascii="Times New Roman" w:hAnsi="Times New Roman"/>
        </w:rPr>
        <w:t>Periodiškumo</w:t>
      </w:r>
    </w:p>
    <w:p w:rsidR="00887470" w:rsidRDefault="00887470" w:rsidP="00887470">
      <w:pPr>
        <w:numPr>
          <w:ilvl w:val="0"/>
          <w:numId w:val="3"/>
        </w:numPr>
        <w:rPr>
          <w:rFonts w:ascii="Times New Roman" w:hAnsi="Times New Roman"/>
        </w:rPr>
      </w:pPr>
      <w:r>
        <w:rPr>
          <w:rFonts w:ascii="Times New Roman" w:hAnsi="Times New Roman"/>
        </w:rPr>
        <w:t xml:space="preserve">Pastovumo </w:t>
      </w:r>
    </w:p>
    <w:p w:rsidR="00887470" w:rsidRDefault="00887470" w:rsidP="00887470">
      <w:pPr>
        <w:numPr>
          <w:ilvl w:val="0"/>
          <w:numId w:val="3"/>
        </w:numPr>
        <w:rPr>
          <w:rFonts w:ascii="Times New Roman" w:hAnsi="Times New Roman"/>
        </w:rPr>
      </w:pPr>
      <w:r>
        <w:rPr>
          <w:rFonts w:ascii="Times New Roman" w:hAnsi="Times New Roman"/>
        </w:rPr>
        <w:t xml:space="preserve">Piniginio mato </w:t>
      </w:r>
    </w:p>
    <w:p w:rsidR="00887470" w:rsidRDefault="00887470" w:rsidP="00887470">
      <w:pPr>
        <w:numPr>
          <w:ilvl w:val="0"/>
          <w:numId w:val="3"/>
        </w:numPr>
        <w:rPr>
          <w:rFonts w:ascii="Times New Roman" w:hAnsi="Times New Roman"/>
        </w:rPr>
      </w:pPr>
      <w:r>
        <w:rPr>
          <w:rFonts w:ascii="Times New Roman" w:hAnsi="Times New Roman"/>
        </w:rPr>
        <w:t xml:space="preserve">Kaupimo </w:t>
      </w:r>
    </w:p>
    <w:p w:rsidR="00887470" w:rsidRDefault="00887470" w:rsidP="00887470">
      <w:pPr>
        <w:numPr>
          <w:ilvl w:val="0"/>
          <w:numId w:val="3"/>
        </w:numPr>
        <w:rPr>
          <w:rFonts w:ascii="Times New Roman" w:hAnsi="Times New Roman"/>
        </w:rPr>
      </w:pPr>
      <w:r>
        <w:rPr>
          <w:rFonts w:ascii="Times New Roman" w:hAnsi="Times New Roman"/>
        </w:rPr>
        <w:t xml:space="preserve">Palyginimo </w:t>
      </w:r>
    </w:p>
    <w:p w:rsidR="00887470" w:rsidRDefault="00887470" w:rsidP="00887470">
      <w:pPr>
        <w:numPr>
          <w:ilvl w:val="0"/>
          <w:numId w:val="3"/>
        </w:numPr>
        <w:rPr>
          <w:rFonts w:ascii="Times New Roman" w:hAnsi="Times New Roman"/>
        </w:rPr>
      </w:pPr>
      <w:r>
        <w:rPr>
          <w:rFonts w:ascii="Times New Roman" w:hAnsi="Times New Roman"/>
        </w:rPr>
        <w:t xml:space="preserve">Atsargumo </w:t>
      </w:r>
    </w:p>
    <w:p w:rsidR="00887470" w:rsidRDefault="00887470" w:rsidP="00887470">
      <w:pPr>
        <w:numPr>
          <w:ilvl w:val="0"/>
          <w:numId w:val="3"/>
        </w:numPr>
        <w:rPr>
          <w:rFonts w:ascii="Times New Roman" w:hAnsi="Times New Roman"/>
        </w:rPr>
      </w:pPr>
      <w:r>
        <w:rPr>
          <w:rFonts w:ascii="Times New Roman" w:hAnsi="Times New Roman"/>
        </w:rPr>
        <w:t xml:space="preserve">Neutralumo </w:t>
      </w:r>
    </w:p>
    <w:p w:rsidR="00887470" w:rsidRDefault="00887470" w:rsidP="00887470">
      <w:pPr>
        <w:numPr>
          <w:ilvl w:val="0"/>
          <w:numId w:val="3"/>
        </w:numPr>
        <w:rPr>
          <w:rFonts w:ascii="Times New Roman" w:hAnsi="Times New Roman"/>
        </w:rPr>
      </w:pPr>
      <w:r>
        <w:rPr>
          <w:rFonts w:ascii="Times New Roman" w:hAnsi="Times New Roman"/>
        </w:rPr>
        <w:t>Turinio viršenybės prieš formą.</w:t>
      </w:r>
    </w:p>
    <w:p w:rsidR="00887470" w:rsidRDefault="00887470" w:rsidP="00887470">
      <w:pPr>
        <w:ind w:left="720"/>
        <w:rPr>
          <w:rFonts w:ascii="Times New Roman" w:hAnsi="Times New Roman"/>
        </w:rPr>
      </w:pPr>
      <w:r>
        <w:rPr>
          <w:rFonts w:ascii="Times New Roman" w:hAnsi="Times New Roman"/>
        </w:rPr>
        <w:t>Įstaigos apskaita tvarkoma taikant dvejybinį įrašą.</w:t>
      </w:r>
    </w:p>
    <w:p w:rsidR="00887470" w:rsidRDefault="00887470" w:rsidP="00084BC0">
      <w:pPr>
        <w:jc w:val="both"/>
        <w:rPr>
          <w:rFonts w:ascii="Times New Roman" w:hAnsi="Times New Roman"/>
        </w:rPr>
      </w:pPr>
      <w:r>
        <w:rPr>
          <w:rFonts w:ascii="Times New Roman" w:hAnsi="Times New Roman"/>
        </w:rPr>
        <w:t>Įstaigos apskaita tvarkoma ir apskaitos dokumentai surašomi naudojant Lietuvos Respublikos piniginį vienetą – litą.</w:t>
      </w:r>
    </w:p>
    <w:p w:rsidR="00887470" w:rsidRDefault="00887470" w:rsidP="00084BC0">
      <w:pPr>
        <w:jc w:val="both"/>
        <w:rPr>
          <w:rFonts w:ascii="Times New Roman" w:hAnsi="Times New Roman"/>
        </w:rPr>
      </w:pPr>
      <w:r>
        <w:rPr>
          <w:rFonts w:ascii="Times New Roman" w:hAnsi="Times New Roman"/>
        </w:rPr>
        <w:t xml:space="preserve">Ūkiniai įvykiai ir ūkinės operacijos, kurių buvimas ir atlikimas ar rezultatų įforminimas susijęs su užsienio valiuta, apskaitoje perskaičiuojami į litus pagal Lietuvos banko nustatytą užsienio valiutos santykį, pagal 21 VSAFAS nurodytus reikalavimus. </w:t>
      </w:r>
    </w:p>
    <w:p w:rsidR="00887470" w:rsidRDefault="00887470" w:rsidP="00084BC0">
      <w:pPr>
        <w:jc w:val="both"/>
        <w:rPr>
          <w:rFonts w:ascii="Times New Roman" w:hAnsi="Times New Roman"/>
        </w:rPr>
      </w:pPr>
      <w:r>
        <w:rPr>
          <w:rFonts w:ascii="Times New Roman" w:hAnsi="Times New Roman"/>
        </w:rPr>
        <w:t>Apskaitos dokumentai surašomi ir apskaitos registrai sudaromi lietuvių kalba.</w:t>
      </w:r>
    </w:p>
    <w:p w:rsidR="00887470" w:rsidRPr="00084BC0" w:rsidRDefault="00887470" w:rsidP="00084BC0">
      <w:pPr>
        <w:jc w:val="both"/>
        <w:rPr>
          <w:rFonts w:ascii="Times New Roman" w:hAnsi="Times New Roman"/>
          <w:lang w:val="de-DE"/>
        </w:rPr>
      </w:pPr>
      <w:r w:rsidRPr="00084BC0">
        <w:rPr>
          <w:rFonts w:ascii="Times New Roman" w:hAnsi="Times New Roman"/>
          <w:lang w:val="de-DE"/>
        </w:rPr>
        <w:t xml:space="preserve">Per </w:t>
      </w:r>
      <w:r w:rsidRPr="00084BC0">
        <w:rPr>
          <w:rFonts w:ascii="Times New Roman" w:hAnsi="Times New Roman"/>
          <w:shd w:val="clear" w:color="auto" w:fill="FFFFFF" w:themeFill="background1"/>
          <w:lang w:val="de-DE"/>
        </w:rPr>
        <w:t>2014 f</w:t>
      </w:r>
      <w:r w:rsidRPr="00084BC0">
        <w:rPr>
          <w:rFonts w:ascii="Times New Roman" w:hAnsi="Times New Roman"/>
          <w:lang w:val="de-DE"/>
        </w:rPr>
        <w:t>inansinius metus apskaitos politikos keitimų nebuvo.</w:t>
      </w:r>
    </w:p>
    <w:p w:rsidR="00887470" w:rsidRPr="00084BC0" w:rsidRDefault="00887470" w:rsidP="00084BC0">
      <w:pPr>
        <w:ind w:firstLine="360"/>
        <w:jc w:val="both"/>
        <w:rPr>
          <w:rFonts w:ascii="Times New Roman" w:hAnsi="Times New Roman"/>
          <w:lang w:val="de-DE"/>
        </w:rPr>
      </w:pPr>
      <w:r w:rsidRPr="00084BC0">
        <w:rPr>
          <w:rFonts w:ascii="Times New Roman" w:hAnsi="Times New Roman"/>
          <w:lang w:val="de-DE"/>
        </w:rPr>
        <w:t>Atskirų apskaitos objektų (materialiojo, nematerialiojo ir finansinio turto, atsargų, pinigų, įsipareigojimų, nemokamai gauto turto, pajamų ir sąnaudų) apskaitos principai</w:t>
      </w:r>
      <w:r w:rsidR="00B32BE1" w:rsidRPr="00084BC0">
        <w:rPr>
          <w:rFonts w:ascii="Times New Roman" w:hAnsi="Times New Roman"/>
          <w:lang w:val="de-DE"/>
        </w:rPr>
        <w:t xml:space="preserve"> </w:t>
      </w:r>
      <w:r w:rsidRPr="00084BC0">
        <w:rPr>
          <w:rFonts w:ascii="Times New Roman" w:hAnsi="Times New Roman"/>
          <w:lang w:val="de-DE"/>
        </w:rPr>
        <w:t>įvertinimo būdai ir metodai nustatyti atitinkamą objektą reglamentuojančiose įstaigos apskaitos politikos skyriuose.</w:t>
      </w:r>
    </w:p>
    <w:p w:rsidR="00887470" w:rsidRPr="00084BC0" w:rsidRDefault="00887470" w:rsidP="00084BC0">
      <w:pPr>
        <w:jc w:val="both"/>
        <w:rPr>
          <w:rFonts w:ascii="Times New Roman" w:hAnsi="Times New Roman"/>
          <w:lang w:val="de-DE"/>
        </w:rPr>
      </w:pPr>
      <w:r w:rsidRPr="00084BC0">
        <w:rPr>
          <w:rFonts w:ascii="Times New Roman" w:hAnsi="Times New Roman"/>
          <w:b/>
          <w:lang w:val="de-DE"/>
        </w:rPr>
        <w:t>Pajamos</w:t>
      </w:r>
      <w:r w:rsidRPr="00084BC0">
        <w:rPr>
          <w:rFonts w:ascii="Times New Roman" w:hAnsi="Times New Roman"/>
          <w:lang w:val="de-DE"/>
        </w:rPr>
        <w:t xml:space="preserve"> įstaigoje pripažįstamos vadovaujantis kaupimo principu, t.y. apskaitoje jos registruojamos tada, kai uždirbamos, neatsižvelgiant į pinigų gavimą. Pajamos įvertinamos tikrąja verte. Pajamos skirstomos į grupes: pagrindinės veiklos pajamos, kitos veiklos pajamos, finansinės  ir investicinės veiklos pajamos.</w:t>
      </w:r>
    </w:p>
    <w:p w:rsidR="00887470" w:rsidRPr="00084BC0" w:rsidRDefault="00887470" w:rsidP="00084BC0">
      <w:pPr>
        <w:jc w:val="both"/>
        <w:rPr>
          <w:rFonts w:ascii="Times New Roman" w:hAnsi="Times New Roman"/>
          <w:lang w:val="de-DE"/>
        </w:rPr>
      </w:pPr>
      <w:r w:rsidRPr="00084BC0">
        <w:rPr>
          <w:rFonts w:ascii="Times New Roman" w:hAnsi="Times New Roman"/>
          <w:b/>
          <w:lang w:val="de-DE"/>
        </w:rPr>
        <w:t>Sąnaudos</w:t>
      </w:r>
      <w:r w:rsidRPr="00084BC0">
        <w:rPr>
          <w:rFonts w:ascii="Times New Roman" w:hAnsi="Times New Roman"/>
          <w:lang w:val="de-DE"/>
        </w:rPr>
        <w:t xml:space="preserve"> apskaitoje pripažįstamos vadovaujantis kaupimo ir palyginimo principais tuo, ataskaitiniu laikotarpiu, kai uždirbamos su jomis susijusios pajamos, neatsižvelgiant į pinigų gavimo momentą. Jos apskaitoje įvertinamos tikrąja verte. Sąnaudos skirstomos į grupes: pagrindinės veiklos sąnaudos, kitos veiklos sąnaudos, finansinės  ir investicinės veiklos sąnaudos. Sąnaudos apskaitoje registruojamos pagal šiuos dokumentus:</w:t>
      </w:r>
    </w:p>
    <w:p w:rsidR="00887470" w:rsidRPr="00084BC0" w:rsidRDefault="00887470" w:rsidP="00084BC0">
      <w:pPr>
        <w:jc w:val="both"/>
        <w:rPr>
          <w:rFonts w:ascii="Times New Roman" w:hAnsi="Times New Roman"/>
          <w:lang w:val="de-DE"/>
        </w:rPr>
      </w:pPr>
      <w:r w:rsidRPr="00084BC0">
        <w:rPr>
          <w:rFonts w:ascii="Times New Roman" w:hAnsi="Times New Roman"/>
          <w:lang w:val="de-DE"/>
        </w:rPr>
        <w:t xml:space="preserve">Sąskaitas faktūras ir kitus įsigijimo dokumentus </w:t>
      </w:r>
      <w:proofErr w:type="gramStart"/>
      <w:r w:rsidRPr="00084BC0">
        <w:rPr>
          <w:rFonts w:ascii="Times New Roman" w:hAnsi="Times New Roman"/>
          <w:lang w:val="de-DE"/>
        </w:rPr>
        <w:t>( pripažįstamos</w:t>
      </w:r>
      <w:proofErr w:type="gramEnd"/>
      <w:r w:rsidRPr="00084BC0">
        <w:rPr>
          <w:rFonts w:ascii="Times New Roman" w:hAnsi="Times New Roman"/>
          <w:lang w:val="de-DE"/>
        </w:rPr>
        <w:t xml:space="preserve"> paslaugų ir kitos sąnaudos)</w:t>
      </w:r>
    </w:p>
    <w:p w:rsidR="00887470" w:rsidRPr="00084BC0" w:rsidRDefault="00887470" w:rsidP="00084BC0">
      <w:pPr>
        <w:jc w:val="both"/>
        <w:rPr>
          <w:rFonts w:ascii="Times New Roman" w:hAnsi="Times New Roman"/>
          <w:lang w:val="de-DE"/>
        </w:rPr>
      </w:pPr>
      <w:r w:rsidRPr="00084BC0">
        <w:rPr>
          <w:rFonts w:ascii="Times New Roman" w:hAnsi="Times New Roman"/>
          <w:lang w:val="de-DE"/>
        </w:rPr>
        <w:lastRenderedPageBreak/>
        <w:t>Išmokėjimo žiniaraščius pagal kiekvieną gavėją ( pripažįstamos darbo užmokesčio, socialinių išmokų ir kitos sąnaudos).</w:t>
      </w:r>
    </w:p>
    <w:p w:rsidR="00887470" w:rsidRPr="00084BC0" w:rsidRDefault="00887470" w:rsidP="00084BC0">
      <w:pPr>
        <w:jc w:val="both"/>
        <w:rPr>
          <w:rFonts w:ascii="Times New Roman" w:hAnsi="Times New Roman"/>
          <w:lang w:val="de-DE"/>
        </w:rPr>
      </w:pPr>
      <w:r w:rsidRPr="00084BC0">
        <w:rPr>
          <w:rFonts w:ascii="Times New Roman" w:hAnsi="Times New Roman"/>
          <w:lang w:val="de-DE"/>
        </w:rPr>
        <w:t>Sąnaudos registruojamos 8 klasės sąskaitų plano sąskaitose</w:t>
      </w:r>
      <w:r w:rsidRPr="00084BC0">
        <w:rPr>
          <w:lang w:val="de-DE"/>
        </w:rPr>
        <w:t>.</w:t>
      </w:r>
    </w:p>
    <w:p w:rsidR="002637D3" w:rsidRDefault="00887470" w:rsidP="00084BC0">
      <w:pPr>
        <w:pStyle w:val="Hyperlink1"/>
        <w:spacing w:line="360" w:lineRule="auto"/>
        <w:ind w:firstLine="709"/>
        <w:jc w:val="both"/>
        <w:rPr>
          <w:sz w:val="24"/>
          <w:szCs w:val="24"/>
          <w:lang w:val="lt-LT"/>
        </w:rPr>
      </w:pPr>
      <w:r>
        <w:rPr>
          <w:b/>
          <w:sz w:val="24"/>
          <w:szCs w:val="24"/>
          <w:lang w:val="lt-LT"/>
        </w:rPr>
        <w:t>Ilgalaikis materialusis turtas</w:t>
      </w:r>
      <w:r>
        <w:rPr>
          <w:sz w:val="24"/>
          <w:szCs w:val="24"/>
          <w:lang w:val="lt-LT"/>
        </w:rPr>
        <w:t xml:space="preserve"> centro apskaitoje registruojamas įsigijimo arba pasigaminimo savikaina, jei jo vertė yra ne mažesnė nei 1000 Lt., įstaigos veikloje tarnaus ilgiau nei vienerius metus, pagrįstai tikėtina, kad įstaiga būsimaisiais laikotarpiais iš turto gaus ekonominės naudos, galima patikimai nustatyti turto įsigijimo ar pasigaminimo savikainą, įstaiga turi teisę tuo turtu disponuoti. </w:t>
      </w:r>
    </w:p>
    <w:p w:rsidR="00887470" w:rsidRDefault="00887470" w:rsidP="00887470">
      <w:pPr>
        <w:pStyle w:val="Hyperlink1"/>
        <w:spacing w:line="360" w:lineRule="auto"/>
        <w:ind w:firstLine="709"/>
        <w:rPr>
          <w:sz w:val="24"/>
          <w:szCs w:val="24"/>
          <w:lang w:val="lt-LT"/>
        </w:rPr>
      </w:pPr>
      <w:r>
        <w:rPr>
          <w:sz w:val="24"/>
          <w:szCs w:val="24"/>
          <w:lang w:val="lt-LT"/>
        </w:rPr>
        <w:t>Centre yra ilgalaikio materialiojo turto grupės ir nustatytas naudingo tarnavimo laikas:</w:t>
      </w:r>
      <w:r w:rsidR="00795F95">
        <w:rPr>
          <w:sz w:val="24"/>
          <w:szCs w:val="24"/>
          <w:lang w:val="lt-LT"/>
        </w:rPr>
        <w:t xml:space="preserve"> </w:t>
      </w:r>
    </w:p>
    <w:tbl>
      <w:tblPr>
        <w:tblStyle w:val="Lentelstinklelis"/>
        <w:tblW w:w="0" w:type="auto"/>
        <w:tblLook w:val="04A0"/>
      </w:tblPr>
      <w:tblGrid>
        <w:gridCol w:w="636"/>
        <w:gridCol w:w="6989"/>
        <w:gridCol w:w="2229"/>
      </w:tblGrid>
      <w:tr w:rsidR="00795F95" w:rsidRPr="00795F95" w:rsidTr="00060A5C">
        <w:tc>
          <w:tcPr>
            <w:tcW w:w="610" w:type="dxa"/>
          </w:tcPr>
          <w:p w:rsidR="00795F95" w:rsidRPr="00060A5C" w:rsidRDefault="00795F95" w:rsidP="00887470">
            <w:pPr>
              <w:jc w:val="center"/>
              <w:rPr>
                <w:rFonts w:ascii="Times New Roman" w:hAnsi="Times New Roman"/>
                <w:bCs/>
                <w:caps/>
                <w:sz w:val="24"/>
                <w:szCs w:val="24"/>
              </w:rPr>
            </w:pPr>
            <w:r w:rsidRPr="00060A5C">
              <w:rPr>
                <w:rFonts w:ascii="Times New Roman" w:hAnsi="Times New Roman"/>
                <w:bCs/>
                <w:caps/>
                <w:sz w:val="24"/>
                <w:szCs w:val="24"/>
              </w:rPr>
              <w:t xml:space="preserve">Eil Nr. </w:t>
            </w:r>
          </w:p>
        </w:tc>
        <w:tc>
          <w:tcPr>
            <w:tcW w:w="7011" w:type="dxa"/>
          </w:tcPr>
          <w:p w:rsidR="00795F95" w:rsidRPr="00060A5C" w:rsidRDefault="00795F95" w:rsidP="004120A7">
            <w:pPr>
              <w:rPr>
                <w:rStyle w:val="Nerykinuoroda"/>
              </w:rPr>
            </w:pPr>
            <w:r w:rsidRPr="00060A5C">
              <w:t>IMT grupės pavadinimas</w:t>
            </w:r>
          </w:p>
        </w:tc>
        <w:tc>
          <w:tcPr>
            <w:tcW w:w="2233" w:type="dxa"/>
          </w:tcPr>
          <w:p w:rsidR="00795F95" w:rsidRPr="00795F95" w:rsidRDefault="00795F95" w:rsidP="004120A7">
            <w:proofErr w:type="spellStart"/>
            <w:r w:rsidRPr="00795F95">
              <w:t>Naudingo</w:t>
            </w:r>
            <w:proofErr w:type="spellEnd"/>
            <w:r w:rsidRPr="00795F95">
              <w:t xml:space="preserve"> </w:t>
            </w:r>
            <w:proofErr w:type="spellStart"/>
            <w:r w:rsidRPr="00795F95">
              <w:t>tarnavimo</w:t>
            </w:r>
            <w:proofErr w:type="spellEnd"/>
            <w:r w:rsidRPr="00795F95">
              <w:t xml:space="preserve"> </w:t>
            </w:r>
            <w:proofErr w:type="spellStart"/>
            <w:r w:rsidRPr="00795F95">
              <w:t>laikas</w:t>
            </w:r>
            <w:proofErr w:type="spellEnd"/>
            <w:r w:rsidRPr="00795F95">
              <w:t xml:space="preserve">  metais</w:t>
            </w:r>
          </w:p>
        </w:tc>
      </w:tr>
      <w:tr w:rsidR="00795F95" w:rsidRPr="004120A7" w:rsidTr="00060A5C">
        <w:tc>
          <w:tcPr>
            <w:tcW w:w="610" w:type="dxa"/>
          </w:tcPr>
          <w:p w:rsidR="00795F95" w:rsidRPr="00DE6091" w:rsidRDefault="00DE6091" w:rsidP="00887470">
            <w:pPr>
              <w:jc w:val="center"/>
              <w:rPr>
                <w:rFonts w:ascii="Times New Roman" w:hAnsi="Times New Roman"/>
                <w:bCs/>
                <w:caps/>
                <w:sz w:val="24"/>
                <w:szCs w:val="24"/>
              </w:rPr>
            </w:pPr>
            <w:r w:rsidRPr="00DE6091">
              <w:rPr>
                <w:rFonts w:ascii="Times New Roman" w:hAnsi="Times New Roman"/>
                <w:bCs/>
                <w:caps/>
                <w:sz w:val="24"/>
                <w:szCs w:val="24"/>
              </w:rPr>
              <w:t>1</w:t>
            </w:r>
          </w:p>
        </w:tc>
        <w:tc>
          <w:tcPr>
            <w:tcW w:w="7011" w:type="dxa"/>
          </w:tcPr>
          <w:p w:rsidR="00795F95" w:rsidRPr="004120A7" w:rsidRDefault="00060A5C" w:rsidP="004120A7">
            <w:pPr>
              <w:rPr>
                <w:sz w:val="24"/>
                <w:szCs w:val="24"/>
              </w:rPr>
            </w:pPr>
            <w:proofErr w:type="spellStart"/>
            <w:r w:rsidRPr="004120A7">
              <w:rPr>
                <w:sz w:val="24"/>
                <w:szCs w:val="24"/>
              </w:rPr>
              <w:t>Pastatai</w:t>
            </w:r>
            <w:proofErr w:type="spellEnd"/>
          </w:p>
        </w:tc>
        <w:tc>
          <w:tcPr>
            <w:tcW w:w="2233" w:type="dxa"/>
          </w:tcPr>
          <w:p w:rsidR="00795F95" w:rsidRPr="004120A7" w:rsidRDefault="00795F95" w:rsidP="00887470">
            <w:pPr>
              <w:jc w:val="center"/>
              <w:rPr>
                <w:rFonts w:ascii="Times New Roman" w:hAnsi="Times New Roman"/>
                <w:b/>
                <w:bCs/>
                <w:caps/>
                <w:sz w:val="24"/>
                <w:szCs w:val="24"/>
              </w:rPr>
            </w:pPr>
          </w:p>
        </w:tc>
      </w:tr>
      <w:tr w:rsidR="00795F95" w:rsidRPr="004120A7" w:rsidTr="00060A5C">
        <w:tc>
          <w:tcPr>
            <w:tcW w:w="610" w:type="dxa"/>
          </w:tcPr>
          <w:p w:rsidR="00795F95" w:rsidRPr="00DE6091" w:rsidRDefault="00DE6091" w:rsidP="00887470">
            <w:pPr>
              <w:jc w:val="center"/>
              <w:rPr>
                <w:rFonts w:ascii="Times New Roman" w:hAnsi="Times New Roman"/>
                <w:bCs/>
                <w:caps/>
                <w:sz w:val="24"/>
                <w:szCs w:val="24"/>
              </w:rPr>
            </w:pPr>
            <w:r w:rsidRPr="00DE6091">
              <w:rPr>
                <w:rFonts w:ascii="Times New Roman" w:hAnsi="Times New Roman"/>
                <w:bCs/>
                <w:caps/>
                <w:sz w:val="24"/>
                <w:szCs w:val="24"/>
              </w:rPr>
              <w:t>1.1</w:t>
            </w:r>
          </w:p>
        </w:tc>
        <w:tc>
          <w:tcPr>
            <w:tcW w:w="7011" w:type="dxa"/>
          </w:tcPr>
          <w:p w:rsidR="00795F95" w:rsidRPr="004120A7" w:rsidRDefault="004120A7" w:rsidP="004120A7">
            <w:proofErr w:type="spellStart"/>
            <w:r>
              <w:t>Gyvenamieji</w:t>
            </w:r>
            <w:proofErr w:type="spellEnd"/>
            <w:r>
              <w:t xml:space="preserve"> </w:t>
            </w:r>
            <w:proofErr w:type="spellStart"/>
            <w:r>
              <w:t>pastatai</w:t>
            </w:r>
            <w:proofErr w:type="spellEnd"/>
          </w:p>
        </w:tc>
        <w:tc>
          <w:tcPr>
            <w:tcW w:w="2233" w:type="dxa"/>
          </w:tcPr>
          <w:p w:rsidR="00795F95" w:rsidRPr="00E7466F" w:rsidRDefault="004120A7" w:rsidP="00887470">
            <w:pPr>
              <w:jc w:val="center"/>
              <w:rPr>
                <w:rFonts w:ascii="Times New Roman" w:hAnsi="Times New Roman"/>
                <w:bCs/>
                <w:caps/>
                <w:sz w:val="24"/>
                <w:szCs w:val="24"/>
              </w:rPr>
            </w:pPr>
            <w:r w:rsidRPr="00E7466F">
              <w:rPr>
                <w:rFonts w:ascii="Times New Roman" w:hAnsi="Times New Roman"/>
                <w:bCs/>
                <w:caps/>
                <w:sz w:val="24"/>
                <w:szCs w:val="24"/>
              </w:rPr>
              <w:t>100</w:t>
            </w:r>
          </w:p>
        </w:tc>
      </w:tr>
      <w:tr w:rsidR="00795F95" w:rsidRPr="004120A7" w:rsidTr="00060A5C">
        <w:tc>
          <w:tcPr>
            <w:tcW w:w="610" w:type="dxa"/>
          </w:tcPr>
          <w:p w:rsidR="00795F95" w:rsidRPr="00DE6091" w:rsidRDefault="00DE6091" w:rsidP="00887470">
            <w:pPr>
              <w:jc w:val="center"/>
              <w:rPr>
                <w:rFonts w:ascii="Times New Roman" w:hAnsi="Times New Roman"/>
                <w:bCs/>
                <w:caps/>
                <w:sz w:val="24"/>
                <w:szCs w:val="24"/>
              </w:rPr>
            </w:pPr>
            <w:r w:rsidRPr="00DE6091">
              <w:rPr>
                <w:rFonts w:ascii="Times New Roman" w:hAnsi="Times New Roman"/>
                <w:bCs/>
                <w:caps/>
                <w:sz w:val="24"/>
                <w:szCs w:val="24"/>
              </w:rPr>
              <w:t>2</w:t>
            </w:r>
          </w:p>
        </w:tc>
        <w:tc>
          <w:tcPr>
            <w:tcW w:w="7011" w:type="dxa"/>
          </w:tcPr>
          <w:p w:rsidR="00795F95" w:rsidRPr="004120A7" w:rsidRDefault="004120A7" w:rsidP="00E7466F">
            <w:proofErr w:type="spellStart"/>
            <w:r>
              <w:t>Infrastruktūra</w:t>
            </w:r>
            <w:proofErr w:type="spellEnd"/>
            <w:r>
              <w:t xml:space="preserve"> </w:t>
            </w:r>
            <w:proofErr w:type="spellStart"/>
            <w:r>
              <w:t>ir</w:t>
            </w:r>
            <w:proofErr w:type="spellEnd"/>
            <w:r>
              <w:t xml:space="preserve"> </w:t>
            </w:r>
            <w:proofErr w:type="spellStart"/>
            <w:r>
              <w:t>kiti</w:t>
            </w:r>
            <w:proofErr w:type="spellEnd"/>
            <w:r>
              <w:t xml:space="preserve"> statiniai</w:t>
            </w:r>
          </w:p>
        </w:tc>
        <w:tc>
          <w:tcPr>
            <w:tcW w:w="2233" w:type="dxa"/>
          </w:tcPr>
          <w:p w:rsidR="00795F95" w:rsidRPr="00E7466F" w:rsidRDefault="00795F95" w:rsidP="00887470">
            <w:pPr>
              <w:jc w:val="center"/>
              <w:rPr>
                <w:rFonts w:ascii="Times New Roman" w:hAnsi="Times New Roman"/>
                <w:bCs/>
                <w:caps/>
                <w:sz w:val="24"/>
                <w:szCs w:val="24"/>
              </w:rPr>
            </w:pPr>
          </w:p>
        </w:tc>
      </w:tr>
      <w:tr w:rsidR="00795F95" w:rsidRPr="004120A7" w:rsidTr="00060A5C">
        <w:tc>
          <w:tcPr>
            <w:tcW w:w="610" w:type="dxa"/>
          </w:tcPr>
          <w:p w:rsidR="00795F95" w:rsidRPr="00DE6091" w:rsidRDefault="00DE6091" w:rsidP="00E7466F">
            <w:r w:rsidRPr="00DE6091">
              <w:t>2.1</w:t>
            </w:r>
          </w:p>
        </w:tc>
        <w:tc>
          <w:tcPr>
            <w:tcW w:w="7011" w:type="dxa"/>
          </w:tcPr>
          <w:p w:rsidR="00795F95" w:rsidRPr="004120A7" w:rsidRDefault="00E7466F" w:rsidP="00E7466F">
            <w:proofErr w:type="spellStart"/>
            <w:r>
              <w:t>Poilsio</w:t>
            </w:r>
            <w:proofErr w:type="spellEnd"/>
            <w:r>
              <w:t xml:space="preserve"> </w:t>
            </w:r>
            <w:proofErr w:type="spellStart"/>
            <w:r>
              <w:t>aikštelės</w:t>
            </w:r>
            <w:proofErr w:type="spellEnd"/>
          </w:p>
        </w:tc>
        <w:tc>
          <w:tcPr>
            <w:tcW w:w="2233" w:type="dxa"/>
          </w:tcPr>
          <w:p w:rsidR="00795F95" w:rsidRPr="00E7466F" w:rsidRDefault="00E7466F" w:rsidP="00887470">
            <w:pPr>
              <w:jc w:val="center"/>
              <w:rPr>
                <w:rFonts w:ascii="Times New Roman" w:hAnsi="Times New Roman"/>
                <w:bCs/>
                <w:caps/>
                <w:sz w:val="24"/>
                <w:szCs w:val="24"/>
              </w:rPr>
            </w:pPr>
            <w:r w:rsidRPr="00E7466F">
              <w:rPr>
                <w:rFonts w:ascii="Times New Roman" w:hAnsi="Times New Roman"/>
                <w:bCs/>
                <w:caps/>
                <w:sz w:val="24"/>
                <w:szCs w:val="24"/>
              </w:rPr>
              <w:t>31</w:t>
            </w:r>
          </w:p>
        </w:tc>
      </w:tr>
      <w:tr w:rsidR="00795F95" w:rsidRPr="004120A7" w:rsidTr="00060A5C">
        <w:tc>
          <w:tcPr>
            <w:tcW w:w="610" w:type="dxa"/>
          </w:tcPr>
          <w:p w:rsidR="00795F95" w:rsidRPr="00DE6091" w:rsidRDefault="00DE6091" w:rsidP="00887470">
            <w:pPr>
              <w:jc w:val="center"/>
              <w:rPr>
                <w:rFonts w:ascii="Times New Roman" w:hAnsi="Times New Roman"/>
                <w:bCs/>
                <w:caps/>
                <w:sz w:val="24"/>
                <w:szCs w:val="24"/>
              </w:rPr>
            </w:pPr>
            <w:r w:rsidRPr="00DE6091">
              <w:rPr>
                <w:rFonts w:ascii="Times New Roman" w:hAnsi="Times New Roman"/>
                <w:bCs/>
                <w:caps/>
                <w:sz w:val="24"/>
                <w:szCs w:val="24"/>
              </w:rPr>
              <w:t>3</w:t>
            </w:r>
          </w:p>
        </w:tc>
        <w:tc>
          <w:tcPr>
            <w:tcW w:w="7011" w:type="dxa"/>
          </w:tcPr>
          <w:p w:rsidR="00795F95" w:rsidRPr="004120A7" w:rsidRDefault="00E7466F" w:rsidP="00E7466F">
            <w:proofErr w:type="spellStart"/>
            <w:r>
              <w:t>Transporto</w:t>
            </w:r>
            <w:proofErr w:type="spellEnd"/>
            <w:r>
              <w:t xml:space="preserve"> </w:t>
            </w:r>
            <w:proofErr w:type="spellStart"/>
            <w:r>
              <w:t>priemonės</w:t>
            </w:r>
            <w:proofErr w:type="spellEnd"/>
          </w:p>
        </w:tc>
        <w:tc>
          <w:tcPr>
            <w:tcW w:w="2233" w:type="dxa"/>
          </w:tcPr>
          <w:p w:rsidR="00795F95" w:rsidRPr="00E7466F" w:rsidRDefault="00E7466F" w:rsidP="00887470">
            <w:pPr>
              <w:jc w:val="center"/>
              <w:rPr>
                <w:rFonts w:ascii="Times New Roman" w:hAnsi="Times New Roman"/>
                <w:bCs/>
                <w:caps/>
                <w:sz w:val="24"/>
                <w:szCs w:val="24"/>
              </w:rPr>
            </w:pPr>
            <w:r w:rsidRPr="00E7466F">
              <w:rPr>
                <w:rFonts w:ascii="Times New Roman" w:hAnsi="Times New Roman"/>
                <w:bCs/>
                <w:caps/>
                <w:sz w:val="24"/>
                <w:szCs w:val="24"/>
              </w:rPr>
              <w:t>11</w:t>
            </w:r>
          </w:p>
        </w:tc>
      </w:tr>
      <w:tr w:rsidR="00795F95" w:rsidRPr="004120A7" w:rsidTr="00060A5C">
        <w:tc>
          <w:tcPr>
            <w:tcW w:w="610" w:type="dxa"/>
          </w:tcPr>
          <w:p w:rsidR="00795F95" w:rsidRPr="00DE6091" w:rsidRDefault="00DE6091" w:rsidP="00887470">
            <w:pPr>
              <w:jc w:val="center"/>
              <w:rPr>
                <w:rFonts w:ascii="Times New Roman" w:hAnsi="Times New Roman"/>
                <w:bCs/>
                <w:caps/>
                <w:sz w:val="24"/>
                <w:szCs w:val="24"/>
              </w:rPr>
            </w:pPr>
            <w:r w:rsidRPr="00DE6091">
              <w:rPr>
                <w:rFonts w:ascii="Times New Roman" w:hAnsi="Times New Roman"/>
                <w:bCs/>
                <w:caps/>
                <w:sz w:val="24"/>
                <w:szCs w:val="24"/>
              </w:rPr>
              <w:t>4</w:t>
            </w:r>
          </w:p>
        </w:tc>
        <w:tc>
          <w:tcPr>
            <w:tcW w:w="7011" w:type="dxa"/>
          </w:tcPr>
          <w:p w:rsidR="00795F95" w:rsidRPr="004120A7" w:rsidRDefault="00E7466F" w:rsidP="00E7466F">
            <w:proofErr w:type="spellStart"/>
            <w:r>
              <w:t>Baldai</w:t>
            </w:r>
            <w:proofErr w:type="spellEnd"/>
            <w:r>
              <w:t xml:space="preserve"> </w:t>
            </w:r>
            <w:proofErr w:type="spellStart"/>
            <w:r>
              <w:t>ir</w:t>
            </w:r>
            <w:proofErr w:type="spellEnd"/>
            <w:r>
              <w:t xml:space="preserve"> </w:t>
            </w:r>
            <w:proofErr w:type="spellStart"/>
            <w:r>
              <w:t>biuro</w:t>
            </w:r>
            <w:proofErr w:type="spellEnd"/>
            <w:r>
              <w:t xml:space="preserve"> </w:t>
            </w:r>
            <w:proofErr w:type="spellStart"/>
            <w:r>
              <w:t>įranga</w:t>
            </w:r>
            <w:proofErr w:type="spellEnd"/>
          </w:p>
        </w:tc>
        <w:tc>
          <w:tcPr>
            <w:tcW w:w="2233" w:type="dxa"/>
          </w:tcPr>
          <w:p w:rsidR="00795F95" w:rsidRPr="00E7466F" w:rsidRDefault="00795F95" w:rsidP="00887470">
            <w:pPr>
              <w:jc w:val="center"/>
              <w:rPr>
                <w:rFonts w:ascii="Times New Roman" w:hAnsi="Times New Roman"/>
                <w:bCs/>
                <w:caps/>
                <w:sz w:val="24"/>
                <w:szCs w:val="24"/>
              </w:rPr>
            </w:pPr>
          </w:p>
        </w:tc>
      </w:tr>
      <w:tr w:rsidR="00795F95" w:rsidRPr="004120A7" w:rsidTr="00060A5C">
        <w:tc>
          <w:tcPr>
            <w:tcW w:w="610" w:type="dxa"/>
          </w:tcPr>
          <w:p w:rsidR="00795F95" w:rsidRPr="00DE6091" w:rsidRDefault="00DE6091" w:rsidP="00887470">
            <w:pPr>
              <w:jc w:val="center"/>
              <w:rPr>
                <w:rFonts w:ascii="Times New Roman" w:hAnsi="Times New Roman"/>
                <w:bCs/>
                <w:caps/>
                <w:sz w:val="24"/>
                <w:szCs w:val="24"/>
              </w:rPr>
            </w:pPr>
            <w:r w:rsidRPr="00DE6091">
              <w:rPr>
                <w:rFonts w:ascii="Times New Roman" w:hAnsi="Times New Roman"/>
                <w:bCs/>
                <w:caps/>
                <w:sz w:val="24"/>
                <w:szCs w:val="24"/>
              </w:rPr>
              <w:t>4.1</w:t>
            </w:r>
          </w:p>
        </w:tc>
        <w:tc>
          <w:tcPr>
            <w:tcW w:w="7011" w:type="dxa"/>
          </w:tcPr>
          <w:p w:rsidR="00795F95" w:rsidRPr="004120A7" w:rsidRDefault="00E7466F" w:rsidP="00E7466F">
            <w:proofErr w:type="spellStart"/>
            <w:r>
              <w:t>Baldai</w:t>
            </w:r>
            <w:proofErr w:type="spellEnd"/>
          </w:p>
        </w:tc>
        <w:tc>
          <w:tcPr>
            <w:tcW w:w="2233" w:type="dxa"/>
          </w:tcPr>
          <w:p w:rsidR="00795F95" w:rsidRPr="00E7466F" w:rsidRDefault="00E7466F" w:rsidP="00887470">
            <w:pPr>
              <w:jc w:val="center"/>
              <w:rPr>
                <w:rFonts w:ascii="Times New Roman" w:hAnsi="Times New Roman"/>
                <w:bCs/>
                <w:caps/>
                <w:sz w:val="24"/>
                <w:szCs w:val="24"/>
              </w:rPr>
            </w:pPr>
            <w:r w:rsidRPr="00E7466F">
              <w:rPr>
                <w:rFonts w:ascii="Times New Roman" w:hAnsi="Times New Roman"/>
                <w:bCs/>
                <w:caps/>
                <w:sz w:val="24"/>
                <w:szCs w:val="24"/>
              </w:rPr>
              <w:t>15</w:t>
            </w:r>
          </w:p>
        </w:tc>
      </w:tr>
      <w:tr w:rsidR="00795F95" w:rsidRPr="004120A7" w:rsidTr="00060A5C">
        <w:tc>
          <w:tcPr>
            <w:tcW w:w="610" w:type="dxa"/>
          </w:tcPr>
          <w:p w:rsidR="00795F95" w:rsidRPr="00DE6091" w:rsidRDefault="00DE6091" w:rsidP="00887470">
            <w:pPr>
              <w:jc w:val="center"/>
              <w:rPr>
                <w:rFonts w:ascii="Times New Roman" w:hAnsi="Times New Roman"/>
                <w:bCs/>
                <w:caps/>
                <w:sz w:val="24"/>
                <w:szCs w:val="24"/>
              </w:rPr>
            </w:pPr>
            <w:r w:rsidRPr="00DE6091">
              <w:rPr>
                <w:rFonts w:ascii="Times New Roman" w:hAnsi="Times New Roman"/>
                <w:bCs/>
                <w:caps/>
                <w:sz w:val="24"/>
                <w:szCs w:val="24"/>
              </w:rPr>
              <w:t>4.2</w:t>
            </w:r>
          </w:p>
        </w:tc>
        <w:tc>
          <w:tcPr>
            <w:tcW w:w="7011" w:type="dxa"/>
          </w:tcPr>
          <w:p w:rsidR="00795F95" w:rsidRPr="004120A7" w:rsidRDefault="00E7466F" w:rsidP="00E7466F">
            <w:proofErr w:type="spellStart"/>
            <w:r>
              <w:t>Kompiuterinė</w:t>
            </w:r>
            <w:proofErr w:type="spellEnd"/>
            <w:r>
              <w:t xml:space="preserve"> </w:t>
            </w:r>
            <w:proofErr w:type="spellStart"/>
            <w:r>
              <w:t>įranga</w:t>
            </w:r>
            <w:proofErr w:type="spellEnd"/>
          </w:p>
        </w:tc>
        <w:tc>
          <w:tcPr>
            <w:tcW w:w="2233" w:type="dxa"/>
          </w:tcPr>
          <w:p w:rsidR="00795F95" w:rsidRPr="00E7466F" w:rsidRDefault="00E7466F" w:rsidP="00887470">
            <w:pPr>
              <w:jc w:val="center"/>
              <w:rPr>
                <w:rFonts w:ascii="Times New Roman" w:hAnsi="Times New Roman"/>
                <w:bCs/>
                <w:caps/>
                <w:sz w:val="24"/>
                <w:szCs w:val="24"/>
              </w:rPr>
            </w:pPr>
            <w:r w:rsidRPr="00E7466F">
              <w:rPr>
                <w:rFonts w:ascii="Times New Roman" w:hAnsi="Times New Roman"/>
                <w:bCs/>
                <w:caps/>
                <w:sz w:val="24"/>
                <w:szCs w:val="24"/>
              </w:rPr>
              <w:t>4</w:t>
            </w:r>
          </w:p>
        </w:tc>
      </w:tr>
      <w:tr w:rsidR="00795F95" w:rsidRPr="004120A7" w:rsidTr="00060A5C">
        <w:tc>
          <w:tcPr>
            <w:tcW w:w="610" w:type="dxa"/>
          </w:tcPr>
          <w:p w:rsidR="00795F95" w:rsidRPr="00DE6091" w:rsidRDefault="00DE6091" w:rsidP="00887470">
            <w:pPr>
              <w:jc w:val="center"/>
              <w:rPr>
                <w:rFonts w:ascii="Times New Roman" w:hAnsi="Times New Roman"/>
                <w:bCs/>
                <w:caps/>
                <w:sz w:val="24"/>
                <w:szCs w:val="24"/>
              </w:rPr>
            </w:pPr>
            <w:r w:rsidRPr="00DE6091">
              <w:rPr>
                <w:rFonts w:ascii="Times New Roman" w:hAnsi="Times New Roman"/>
                <w:bCs/>
                <w:caps/>
                <w:sz w:val="24"/>
                <w:szCs w:val="24"/>
              </w:rPr>
              <w:t>5</w:t>
            </w:r>
          </w:p>
        </w:tc>
        <w:tc>
          <w:tcPr>
            <w:tcW w:w="7011" w:type="dxa"/>
          </w:tcPr>
          <w:p w:rsidR="00795F95" w:rsidRPr="004120A7" w:rsidRDefault="00E7466F" w:rsidP="00E7466F">
            <w:proofErr w:type="spellStart"/>
            <w:r>
              <w:t>Kitas</w:t>
            </w:r>
            <w:proofErr w:type="spellEnd"/>
            <w:r>
              <w:t xml:space="preserve"> </w:t>
            </w:r>
            <w:proofErr w:type="spellStart"/>
            <w:r>
              <w:t>ilgalaikis</w:t>
            </w:r>
            <w:proofErr w:type="spellEnd"/>
            <w:r>
              <w:t xml:space="preserve"> </w:t>
            </w:r>
            <w:proofErr w:type="spellStart"/>
            <w:r>
              <w:t>materialusis</w:t>
            </w:r>
            <w:proofErr w:type="spellEnd"/>
            <w:r>
              <w:t xml:space="preserve"> turtas</w:t>
            </w:r>
          </w:p>
        </w:tc>
        <w:tc>
          <w:tcPr>
            <w:tcW w:w="2233" w:type="dxa"/>
          </w:tcPr>
          <w:p w:rsidR="00795F95" w:rsidRPr="00E7466F" w:rsidRDefault="00795F95" w:rsidP="00887470">
            <w:pPr>
              <w:jc w:val="center"/>
              <w:rPr>
                <w:rFonts w:ascii="Times New Roman" w:hAnsi="Times New Roman"/>
                <w:bCs/>
                <w:caps/>
                <w:sz w:val="24"/>
                <w:szCs w:val="24"/>
              </w:rPr>
            </w:pPr>
          </w:p>
        </w:tc>
      </w:tr>
      <w:tr w:rsidR="00795F95" w:rsidRPr="004120A7" w:rsidTr="00060A5C">
        <w:tc>
          <w:tcPr>
            <w:tcW w:w="610" w:type="dxa"/>
          </w:tcPr>
          <w:p w:rsidR="00795F95" w:rsidRPr="00DE6091" w:rsidRDefault="00DE6091" w:rsidP="00887470">
            <w:pPr>
              <w:jc w:val="center"/>
              <w:rPr>
                <w:rFonts w:ascii="Times New Roman" w:hAnsi="Times New Roman"/>
                <w:bCs/>
                <w:caps/>
                <w:sz w:val="24"/>
                <w:szCs w:val="24"/>
              </w:rPr>
            </w:pPr>
            <w:r w:rsidRPr="00DE6091">
              <w:rPr>
                <w:rFonts w:ascii="Times New Roman" w:hAnsi="Times New Roman"/>
                <w:bCs/>
                <w:caps/>
                <w:sz w:val="24"/>
                <w:szCs w:val="24"/>
              </w:rPr>
              <w:t>5.1</w:t>
            </w:r>
          </w:p>
        </w:tc>
        <w:tc>
          <w:tcPr>
            <w:tcW w:w="7011" w:type="dxa"/>
          </w:tcPr>
          <w:p w:rsidR="00795F95" w:rsidRPr="004120A7" w:rsidRDefault="00E7466F" w:rsidP="00E7466F">
            <w:proofErr w:type="spellStart"/>
            <w:r>
              <w:t>Muzikinis</w:t>
            </w:r>
            <w:proofErr w:type="spellEnd"/>
            <w:r>
              <w:t xml:space="preserve"> </w:t>
            </w:r>
            <w:proofErr w:type="spellStart"/>
            <w:r>
              <w:t>centras</w:t>
            </w:r>
            <w:proofErr w:type="spellEnd"/>
          </w:p>
        </w:tc>
        <w:tc>
          <w:tcPr>
            <w:tcW w:w="2233" w:type="dxa"/>
          </w:tcPr>
          <w:p w:rsidR="00795F95" w:rsidRPr="00E7466F" w:rsidRDefault="00E7466F" w:rsidP="00887470">
            <w:pPr>
              <w:jc w:val="center"/>
              <w:rPr>
                <w:rFonts w:ascii="Times New Roman" w:hAnsi="Times New Roman"/>
                <w:bCs/>
                <w:caps/>
                <w:sz w:val="24"/>
                <w:szCs w:val="24"/>
              </w:rPr>
            </w:pPr>
            <w:r w:rsidRPr="00E7466F">
              <w:rPr>
                <w:rFonts w:ascii="Times New Roman" w:hAnsi="Times New Roman"/>
                <w:bCs/>
                <w:caps/>
                <w:sz w:val="24"/>
                <w:szCs w:val="24"/>
              </w:rPr>
              <w:t>5</w:t>
            </w:r>
          </w:p>
        </w:tc>
      </w:tr>
      <w:tr w:rsidR="00795F95" w:rsidRPr="004120A7" w:rsidTr="00060A5C">
        <w:tc>
          <w:tcPr>
            <w:tcW w:w="610" w:type="dxa"/>
          </w:tcPr>
          <w:p w:rsidR="00795F95" w:rsidRPr="00DE6091" w:rsidRDefault="00DE6091" w:rsidP="00887470">
            <w:pPr>
              <w:jc w:val="center"/>
              <w:rPr>
                <w:rFonts w:ascii="Times New Roman" w:hAnsi="Times New Roman"/>
                <w:bCs/>
                <w:caps/>
                <w:sz w:val="24"/>
                <w:szCs w:val="24"/>
              </w:rPr>
            </w:pPr>
            <w:r w:rsidRPr="00DE6091">
              <w:rPr>
                <w:rFonts w:ascii="Times New Roman" w:hAnsi="Times New Roman"/>
                <w:bCs/>
                <w:caps/>
                <w:sz w:val="24"/>
                <w:szCs w:val="24"/>
              </w:rPr>
              <w:t>5.2</w:t>
            </w:r>
          </w:p>
        </w:tc>
        <w:tc>
          <w:tcPr>
            <w:tcW w:w="7011" w:type="dxa"/>
          </w:tcPr>
          <w:p w:rsidR="00795F95" w:rsidRPr="004120A7" w:rsidRDefault="00E7466F" w:rsidP="00E7466F">
            <w:proofErr w:type="spellStart"/>
            <w:r>
              <w:t>Indaplovės</w:t>
            </w:r>
            <w:proofErr w:type="spellEnd"/>
          </w:p>
        </w:tc>
        <w:tc>
          <w:tcPr>
            <w:tcW w:w="2233" w:type="dxa"/>
          </w:tcPr>
          <w:p w:rsidR="00795F95" w:rsidRPr="00E7466F" w:rsidRDefault="00E7466F" w:rsidP="00887470">
            <w:pPr>
              <w:jc w:val="center"/>
              <w:rPr>
                <w:rFonts w:ascii="Times New Roman" w:hAnsi="Times New Roman"/>
                <w:bCs/>
                <w:caps/>
                <w:sz w:val="24"/>
                <w:szCs w:val="24"/>
              </w:rPr>
            </w:pPr>
            <w:r w:rsidRPr="00E7466F">
              <w:rPr>
                <w:rFonts w:ascii="Times New Roman" w:hAnsi="Times New Roman"/>
                <w:bCs/>
                <w:caps/>
                <w:sz w:val="24"/>
                <w:szCs w:val="24"/>
              </w:rPr>
              <w:t>5</w:t>
            </w:r>
          </w:p>
        </w:tc>
      </w:tr>
      <w:tr w:rsidR="00795F95" w:rsidRPr="004120A7" w:rsidTr="00060A5C">
        <w:tc>
          <w:tcPr>
            <w:tcW w:w="610" w:type="dxa"/>
          </w:tcPr>
          <w:p w:rsidR="00795F95" w:rsidRPr="00DE6091" w:rsidRDefault="00DE6091" w:rsidP="00887470">
            <w:pPr>
              <w:jc w:val="center"/>
              <w:rPr>
                <w:rFonts w:ascii="Times New Roman" w:hAnsi="Times New Roman"/>
                <w:bCs/>
                <w:caps/>
                <w:sz w:val="24"/>
                <w:szCs w:val="24"/>
              </w:rPr>
            </w:pPr>
            <w:r w:rsidRPr="00DE6091">
              <w:rPr>
                <w:rFonts w:ascii="Times New Roman" w:hAnsi="Times New Roman"/>
                <w:bCs/>
                <w:caps/>
                <w:sz w:val="24"/>
                <w:szCs w:val="24"/>
              </w:rPr>
              <w:t>5.3</w:t>
            </w:r>
          </w:p>
        </w:tc>
        <w:tc>
          <w:tcPr>
            <w:tcW w:w="7011" w:type="dxa"/>
          </w:tcPr>
          <w:p w:rsidR="00795F95" w:rsidRPr="004120A7" w:rsidRDefault="00E7466F" w:rsidP="00E7466F">
            <w:proofErr w:type="spellStart"/>
            <w:r>
              <w:t>Skalbimo</w:t>
            </w:r>
            <w:proofErr w:type="spellEnd"/>
            <w:r>
              <w:t xml:space="preserve"> </w:t>
            </w:r>
            <w:proofErr w:type="spellStart"/>
            <w:r>
              <w:t>mašinos</w:t>
            </w:r>
            <w:proofErr w:type="spellEnd"/>
          </w:p>
        </w:tc>
        <w:tc>
          <w:tcPr>
            <w:tcW w:w="2233" w:type="dxa"/>
          </w:tcPr>
          <w:p w:rsidR="00795F95" w:rsidRPr="00E7466F" w:rsidRDefault="00E7466F" w:rsidP="00887470">
            <w:pPr>
              <w:jc w:val="center"/>
              <w:rPr>
                <w:rFonts w:ascii="Times New Roman" w:hAnsi="Times New Roman"/>
                <w:bCs/>
                <w:caps/>
                <w:sz w:val="24"/>
                <w:szCs w:val="24"/>
              </w:rPr>
            </w:pPr>
            <w:r w:rsidRPr="00E7466F">
              <w:rPr>
                <w:rFonts w:ascii="Times New Roman" w:hAnsi="Times New Roman"/>
                <w:bCs/>
                <w:caps/>
                <w:sz w:val="24"/>
                <w:szCs w:val="24"/>
              </w:rPr>
              <w:t>5</w:t>
            </w:r>
          </w:p>
        </w:tc>
      </w:tr>
      <w:tr w:rsidR="00795F95" w:rsidRPr="004120A7" w:rsidTr="00060A5C">
        <w:tc>
          <w:tcPr>
            <w:tcW w:w="610" w:type="dxa"/>
          </w:tcPr>
          <w:p w:rsidR="00795F95" w:rsidRPr="00DE6091" w:rsidRDefault="00DE6091" w:rsidP="00887470">
            <w:pPr>
              <w:jc w:val="center"/>
              <w:rPr>
                <w:rFonts w:ascii="Times New Roman" w:hAnsi="Times New Roman"/>
                <w:bCs/>
                <w:caps/>
                <w:sz w:val="24"/>
                <w:szCs w:val="24"/>
              </w:rPr>
            </w:pPr>
            <w:r w:rsidRPr="00DE6091">
              <w:rPr>
                <w:rFonts w:ascii="Times New Roman" w:hAnsi="Times New Roman"/>
                <w:bCs/>
                <w:caps/>
                <w:sz w:val="24"/>
                <w:szCs w:val="24"/>
              </w:rPr>
              <w:t>5.4</w:t>
            </w:r>
          </w:p>
        </w:tc>
        <w:tc>
          <w:tcPr>
            <w:tcW w:w="7011" w:type="dxa"/>
          </w:tcPr>
          <w:p w:rsidR="00795F95" w:rsidRPr="004120A7" w:rsidRDefault="00E7466F" w:rsidP="00E7466F">
            <w:proofErr w:type="spellStart"/>
            <w:r>
              <w:t>Televizoriai</w:t>
            </w:r>
            <w:proofErr w:type="spellEnd"/>
          </w:p>
        </w:tc>
        <w:tc>
          <w:tcPr>
            <w:tcW w:w="2233" w:type="dxa"/>
          </w:tcPr>
          <w:p w:rsidR="00795F95" w:rsidRPr="00E7466F" w:rsidRDefault="00E7466F" w:rsidP="00887470">
            <w:pPr>
              <w:jc w:val="center"/>
              <w:rPr>
                <w:rFonts w:ascii="Times New Roman" w:hAnsi="Times New Roman"/>
                <w:bCs/>
                <w:caps/>
                <w:sz w:val="24"/>
                <w:szCs w:val="24"/>
              </w:rPr>
            </w:pPr>
            <w:r w:rsidRPr="00E7466F">
              <w:rPr>
                <w:rFonts w:ascii="Times New Roman" w:hAnsi="Times New Roman"/>
                <w:bCs/>
                <w:caps/>
                <w:sz w:val="24"/>
                <w:szCs w:val="24"/>
              </w:rPr>
              <w:t>5</w:t>
            </w:r>
          </w:p>
        </w:tc>
      </w:tr>
      <w:tr w:rsidR="00795F95" w:rsidRPr="004120A7" w:rsidTr="00060A5C">
        <w:tc>
          <w:tcPr>
            <w:tcW w:w="610" w:type="dxa"/>
          </w:tcPr>
          <w:p w:rsidR="00795F95" w:rsidRPr="00DE6091" w:rsidRDefault="00DE6091" w:rsidP="00887470">
            <w:pPr>
              <w:jc w:val="center"/>
              <w:rPr>
                <w:rFonts w:ascii="Times New Roman" w:hAnsi="Times New Roman"/>
                <w:bCs/>
                <w:caps/>
                <w:sz w:val="24"/>
                <w:szCs w:val="24"/>
              </w:rPr>
            </w:pPr>
            <w:r w:rsidRPr="00DE6091">
              <w:rPr>
                <w:rFonts w:ascii="Times New Roman" w:hAnsi="Times New Roman"/>
                <w:bCs/>
                <w:caps/>
                <w:sz w:val="24"/>
                <w:szCs w:val="24"/>
              </w:rPr>
              <w:t>5.5</w:t>
            </w:r>
          </w:p>
        </w:tc>
        <w:tc>
          <w:tcPr>
            <w:tcW w:w="7011" w:type="dxa"/>
          </w:tcPr>
          <w:p w:rsidR="00795F95" w:rsidRPr="004120A7" w:rsidRDefault="00E7466F" w:rsidP="00E7466F">
            <w:proofErr w:type="spellStart"/>
            <w:r>
              <w:t>Viryklės</w:t>
            </w:r>
            <w:proofErr w:type="spellEnd"/>
          </w:p>
        </w:tc>
        <w:tc>
          <w:tcPr>
            <w:tcW w:w="2233" w:type="dxa"/>
          </w:tcPr>
          <w:p w:rsidR="00795F95" w:rsidRPr="00E7466F" w:rsidRDefault="00E7466F" w:rsidP="00887470">
            <w:pPr>
              <w:jc w:val="center"/>
              <w:rPr>
                <w:rFonts w:ascii="Times New Roman" w:hAnsi="Times New Roman"/>
                <w:bCs/>
                <w:caps/>
                <w:sz w:val="24"/>
                <w:szCs w:val="24"/>
              </w:rPr>
            </w:pPr>
            <w:r w:rsidRPr="00E7466F">
              <w:rPr>
                <w:rFonts w:ascii="Times New Roman" w:hAnsi="Times New Roman"/>
                <w:bCs/>
                <w:caps/>
                <w:sz w:val="24"/>
                <w:szCs w:val="24"/>
              </w:rPr>
              <w:t>7</w:t>
            </w:r>
          </w:p>
        </w:tc>
      </w:tr>
      <w:tr w:rsidR="00795F95" w:rsidRPr="004120A7" w:rsidTr="00060A5C">
        <w:tc>
          <w:tcPr>
            <w:tcW w:w="610" w:type="dxa"/>
          </w:tcPr>
          <w:p w:rsidR="00795F95" w:rsidRPr="00DE6091" w:rsidRDefault="00DE6091" w:rsidP="00887470">
            <w:pPr>
              <w:jc w:val="center"/>
              <w:rPr>
                <w:rFonts w:ascii="Times New Roman" w:hAnsi="Times New Roman"/>
                <w:bCs/>
                <w:caps/>
                <w:sz w:val="24"/>
                <w:szCs w:val="24"/>
              </w:rPr>
            </w:pPr>
            <w:r w:rsidRPr="00DE6091">
              <w:rPr>
                <w:rFonts w:ascii="Times New Roman" w:hAnsi="Times New Roman"/>
                <w:bCs/>
                <w:caps/>
                <w:sz w:val="24"/>
                <w:szCs w:val="24"/>
              </w:rPr>
              <w:t>5.6</w:t>
            </w:r>
          </w:p>
        </w:tc>
        <w:tc>
          <w:tcPr>
            <w:tcW w:w="7011" w:type="dxa"/>
          </w:tcPr>
          <w:p w:rsidR="00795F95" w:rsidRPr="004120A7" w:rsidRDefault="00E7466F" w:rsidP="00E7466F">
            <w:proofErr w:type="spellStart"/>
            <w:r>
              <w:t>Siuvimo</w:t>
            </w:r>
            <w:proofErr w:type="spellEnd"/>
            <w:r>
              <w:t xml:space="preserve"> </w:t>
            </w:r>
            <w:proofErr w:type="spellStart"/>
            <w:r>
              <w:t>mašinos</w:t>
            </w:r>
            <w:proofErr w:type="spellEnd"/>
          </w:p>
        </w:tc>
        <w:tc>
          <w:tcPr>
            <w:tcW w:w="2233" w:type="dxa"/>
          </w:tcPr>
          <w:p w:rsidR="00795F95" w:rsidRPr="00E7466F" w:rsidRDefault="00E7466F" w:rsidP="00887470">
            <w:pPr>
              <w:jc w:val="center"/>
              <w:rPr>
                <w:rFonts w:ascii="Times New Roman" w:hAnsi="Times New Roman"/>
                <w:bCs/>
                <w:caps/>
                <w:sz w:val="24"/>
                <w:szCs w:val="24"/>
              </w:rPr>
            </w:pPr>
            <w:r w:rsidRPr="00E7466F">
              <w:rPr>
                <w:rFonts w:ascii="Times New Roman" w:hAnsi="Times New Roman"/>
                <w:bCs/>
                <w:caps/>
                <w:sz w:val="24"/>
                <w:szCs w:val="24"/>
              </w:rPr>
              <w:t>11</w:t>
            </w:r>
          </w:p>
        </w:tc>
      </w:tr>
      <w:tr w:rsidR="00795F95" w:rsidRPr="004120A7" w:rsidTr="00060A5C">
        <w:tc>
          <w:tcPr>
            <w:tcW w:w="610" w:type="dxa"/>
          </w:tcPr>
          <w:p w:rsidR="00795F95" w:rsidRPr="00DE6091" w:rsidRDefault="00DE6091" w:rsidP="00887470">
            <w:pPr>
              <w:jc w:val="center"/>
              <w:rPr>
                <w:rFonts w:ascii="Times New Roman" w:hAnsi="Times New Roman"/>
                <w:bCs/>
                <w:caps/>
                <w:sz w:val="24"/>
                <w:szCs w:val="24"/>
              </w:rPr>
            </w:pPr>
            <w:r w:rsidRPr="00DE6091">
              <w:rPr>
                <w:rFonts w:ascii="Times New Roman" w:hAnsi="Times New Roman"/>
                <w:bCs/>
                <w:caps/>
                <w:sz w:val="24"/>
                <w:szCs w:val="24"/>
              </w:rPr>
              <w:t>5.7</w:t>
            </w:r>
          </w:p>
        </w:tc>
        <w:tc>
          <w:tcPr>
            <w:tcW w:w="7011" w:type="dxa"/>
          </w:tcPr>
          <w:p w:rsidR="00795F95" w:rsidRPr="004120A7" w:rsidRDefault="00E7466F" w:rsidP="00E7466F">
            <w:proofErr w:type="spellStart"/>
            <w:r>
              <w:t>Skalbinių</w:t>
            </w:r>
            <w:proofErr w:type="spellEnd"/>
            <w:r>
              <w:t xml:space="preserve"> </w:t>
            </w:r>
            <w:proofErr w:type="spellStart"/>
            <w:r>
              <w:t>džiovyklė</w:t>
            </w:r>
            <w:proofErr w:type="spellEnd"/>
          </w:p>
        </w:tc>
        <w:tc>
          <w:tcPr>
            <w:tcW w:w="2233" w:type="dxa"/>
          </w:tcPr>
          <w:p w:rsidR="00795F95" w:rsidRPr="00E7466F" w:rsidRDefault="00E7466F" w:rsidP="00887470">
            <w:pPr>
              <w:jc w:val="center"/>
              <w:rPr>
                <w:rFonts w:ascii="Times New Roman" w:hAnsi="Times New Roman"/>
                <w:bCs/>
                <w:caps/>
                <w:sz w:val="24"/>
                <w:szCs w:val="24"/>
              </w:rPr>
            </w:pPr>
            <w:r w:rsidRPr="00E7466F">
              <w:rPr>
                <w:rFonts w:ascii="Times New Roman" w:hAnsi="Times New Roman"/>
                <w:bCs/>
                <w:caps/>
                <w:sz w:val="24"/>
                <w:szCs w:val="24"/>
              </w:rPr>
              <w:t>5</w:t>
            </w:r>
          </w:p>
        </w:tc>
      </w:tr>
      <w:tr w:rsidR="00795F95" w:rsidRPr="004120A7" w:rsidTr="00060A5C">
        <w:tc>
          <w:tcPr>
            <w:tcW w:w="610" w:type="dxa"/>
          </w:tcPr>
          <w:p w:rsidR="00795F95" w:rsidRPr="00DE6091" w:rsidRDefault="00DE6091" w:rsidP="00887470">
            <w:pPr>
              <w:jc w:val="center"/>
              <w:rPr>
                <w:rFonts w:ascii="Times New Roman" w:hAnsi="Times New Roman"/>
                <w:bCs/>
                <w:caps/>
                <w:sz w:val="24"/>
                <w:szCs w:val="24"/>
              </w:rPr>
            </w:pPr>
            <w:r w:rsidRPr="00DE6091">
              <w:rPr>
                <w:rFonts w:ascii="Times New Roman" w:hAnsi="Times New Roman"/>
                <w:bCs/>
                <w:caps/>
                <w:sz w:val="24"/>
                <w:szCs w:val="24"/>
              </w:rPr>
              <w:t>5.8</w:t>
            </w:r>
          </w:p>
        </w:tc>
        <w:tc>
          <w:tcPr>
            <w:tcW w:w="7011" w:type="dxa"/>
          </w:tcPr>
          <w:p w:rsidR="00795F95" w:rsidRPr="004120A7" w:rsidRDefault="00E7466F" w:rsidP="00E7466F">
            <w:proofErr w:type="spellStart"/>
            <w:r>
              <w:t>Lyginimo</w:t>
            </w:r>
            <w:proofErr w:type="spellEnd"/>
            <w:r>
              <w:t xml:space="preserve"> </w:t>
            </w:r>
            <w:proofErr w:type="spellStart"/>
            <w:r>
              <w:t>presas</w:t>
            </w:r>
            <w:proofErr w:type="spellEnd"/>
          </w:p>
        </w:tc>
        <w:tc>
          <w:tcPr>
            <w:tcW w:w="2233" w:type="dxa"/>
          </w:tcPr>
          <w:p w:rsidR="00795F95" w:rsidRPr="00E7466F" w:rsidRDefault="00E7466F" w:rsidP="00887470">
            <w:pPr>
              <w:jc w:val="center"/>
              <w:rPr>
                <w:rFonts w:ascii="Times New Roman" w:hAnsi="Times New Roman"/>
                <w:bCs/>
                <w:caps/>
                <w:sz w:val="24"/>
                <w:szCs w:val="24"/>
              </w:rPr>
            </w:pPr>
            <w:r w:rsidRPr="00E7466F">
              <w:rPr>
                <w:rFonts w:ascii="Times New Roman" w:hAnsi="Times New Roman"/>
                <w:bCs/>
                <w:caps/>
                <w:sz w:val="24"/>
                <w:szCs w:val="24"/>
              </w:rPr>
              <w:t>5</w:t>
            </w:r>
          </w:p>
        </w:tc>
      </w:tr>
      <w:tr w:rsidR="00795F95" w:rsidRPr="004120A7" w:rsidTr="00060A5C">
        <w:tc>
          <w:tcPr>
            <w:tcW w:w="610" w:type="dxa"/>
          </w:tcPr>
          <w:p w:rsidR="00795F95" w:rsidRPr="00DE6091" w:rsidRDefault="00DE6091" w:rsidP="00887470">
            <w:pPr>
              <w:jc w:val="center"/>
              <w:rPr>
                <w:rFonts w:ascii="Times New Roman" w:hAnsi="Times New Roman"/>
                <w:bCs/>
                <w:caps/>
                <w:sz w:val="24"/>
                <w:szCs w:val="24"/>
              </w:rPr>
            </w:pPr>
            <w:r w:rsidRPr="00DE6091">
              <w:rPr>
                <w:rFonts w:ascii="Times New Roman" w:hAnsi="Times New Roman"/>
                <w:bCs/>
                <w:caps/>
                <w:sz w:val="24"/>
                <w:szCs w:val="24"/>
              </w:rPr>
              <w:t>5.9</w:t>
            </w:r>
          </w:p>
        </w:tc>
        <w:tc>
          <w:tcPr>
            <w:tcW w:w="7011" w:type="dxa"/>
          </w:tcPr>
          <w:p w:rsidR="00795F95" w:rsidRPr="004120A7" w:rsidRDefault="00E7466F" w:rsidP="00E7466F">
            <w:proofErr w:type="spellStart"/>
            <w:r>
              <w:t>Marmitas</w:t>
            </w:r>
            <w:proofErr w:type="spellEnd"/>
          </w:p>
        </w:tc>
        <w:tc>
          <w:tcPr>
            <w:tcW w:w="2233" w:type="dxa"/>
          </w:tcPr>
          <w:p w:rsidR="00795F95" w:rsidRPr="00E7466F" w:rsidRDefault="00E7466F" w:rsidP="00887470">
            <w:pPr>
              <w:jc w:val="center"/>
              <w:rPr>
                <w:rFonts w:ascii="Times New Roman" w:hAnsi="Times New Roman"/>
                <w:bCs/>
                <w:caps/>
                <w:sz w:val="24"/>
                <w:szCs w:val="24"/>
              </w:rPr>
            </w:pPr>
            <w:r w:rsidRPr="00E7466F">
              <w:rPr>
                <w:rFonts w:ascii="Times New Roman" w:hAnsi="Times New Roman"/>
                <w:bCs/>
                <w:caps/>
                <w:sz w:val="24"/>
                <w:szCs w:val="24"/>
              </w:rPr>
              <w:t>5</w:t>
            </w:r>
          </w:p>
        </w:tc>
      </w:tr>
      <w:tr w:rsidR="00795F95" w:rsidRPr="004120A7" w:rsidTr="00060A5C">
        <w:tc>
          <w:tcPr>
            <w:tcW w:w="610" w:type="dxa"/>
          </w:tcPr>
          <w:p w:rsidR="00795F95" w:rsidRPr="00DE6091" w:rsidRDefault="00DE6091" w:rsidP="00887470">
            <w:pPr>
              <w:jc w:val="center"/>
              <w:rPr>
                <w:rFonts w:ascii="Times New Roman" w:hAnsi="Times New Roman"/>
                <w:bCs/>
                <w:caps/>
                <w:sz w:val="24"/>
                <w:szCs w:val="24"/>
              </w:rPr>
            </w:pPr>
            <w:r w:rsidRPr="00DE6091">
              <w:rPr>
                <w:rFonts w:ascii="Times New Roman" w:hAnsi="Times New Roman"/>
                <w:bCs/>
                <w:caps/>
                <w:sz w:val="24"/>
                <w:szCs w:val="24"/>
              </w:rPr>
              <w:t>5.10</w:t>
            </w:r>
          </w:p>
        </w:tc>
        <w:tc>
          <w:tcPr>
            <w:tcW w:w="7011" w:type="dxa"/>
          </w:tcPr>
          <w:p w:rsidR="00795F95" w:rsidRPr="004120A7" w:rsidRDefault="00E7466F" w:rsidP="00E7466F">
            <w:proofErr w:type="spellStart"/>
            <w:r>
              <w:t>Šaldytuvai</w:t>
            </w:r>
            <w:proofErr w:type="spellEnd"/>
          </w:p>
        </w:tc>
        <w:tc>
          <w:tcPr>
            <w:tcW w:w="2233" w:type="dxa"/>
          </w:tcPr>
          <w:p w:rsidR="00795F95" w:rsidRPr="00E7466F" w:rsidRDefault="00E7466F" w:rsidP="00887470">
            <w:pPr>
              <w:jc w:val="center"/>
              <w:rPr>
                <w:rFonts w:ascii="Times New Roman" w:hAnsi="Times New Roman"/>
                <w:bCs/>
                <w:caps/>
                <w:sz w:val="24"/>
                <w:szCs w:val="24"/>
              </w:rPr>
            </w:pPr>
            <w:r w:rsidRPr="00E7466F">
              <w:rPr>
                <w:rFonts w:ascii="Times New Roman" w:hAnsi="Times New Roman"/>
                <w:bCs/>
                <w:caps/>
                <w:sz w:val="24"/>
                <w:szCs w:val="24"/>
              </w:rPr>
              <w:t>5</w:t>
            </w:r>
          </w:p>
        </w:tc>
      </w:tr>
      <w:tr w:rsidR="00795F95" w:rsidRPr="004120A7" w:rsidTr="00060A5C">
        <w:tc>
          <w:tcPr>
            <w:tcW w:w="610" w:type="dxa"/>
          </w:tcPr>
          <w:p w:rsidR="00795F95" w:rsidRPr="00DE6091" w:rsidRDefault="00DE6091" w:rsidP="00887470">
            <w:pPr>
              <w:jc w:val="center"/>
              <w:rPr>
                <w:rFonts w:ascii="Times New Roman" w:hAnsi="Times New Roman"/>
                <w:bCs/>
                <w:caps/>
                <w:sz w:val="24"/>
                <w:szCs w:val="24"/>
              </w:rPr>
            </w:pPr>
            <w:r w:rsidRPr="00DE6091">
              <w:rPr>
                <w:rFonts w:ascii="Times New Roman" w:hAnsi="Times New Roman"/>
                <w:bCs/>
                <w:caps/>
                <w:sz w:val="24"/>
                <w:szCs w:val="24"/>
              </w:rPr>
              <w:t>5.11</w:t>
            </w:r>
          </w:p>
        </w:tc>
        <w:tc>
          <w:tcPr>
            <w:tcW w:w="7011" w:type="dxa"/>
          </w:tcPr>
          <w:p w:rsidR="00795F95" w:rsidRPr="004120A7" w:rsidRDefault="00E7466F" w:rsidP="00E7466F">
            <w:proofErr w:type="spellStart"/>
            <w:r>
              <w:t>Naktinių</w:t>
            </w:r>
            <w:proofErr w:type="spellEnd"/>
            <w:r>
              <w:t xml:space="preserve"> </w:t>
            </w:r>
            <w:proofErr w:type="spellStart"/>
            <w:r>
              <w:t>užuolaidų</w:t>
            </w:r>
            <w:proofErr w:type="spellEnd"/>
            <w:r>
              <w:t xml:space="preserve"> </w:t>
            </w:r>
            <w:proofErr w:type="spellStart"/>
            <w:r>
              <w:t>komplektai</w:t>
            </w:r>
            <w:proofErr w:type="spellEnd"/>
          </w:p>
        </w:tc>
        <w:tc>
          <w:tcPr>
            <w:tcW w:w="2233" w:type="dxa"/>
          </w:tcPr>
          <w:p w:rsidR="00795F95" w:rsidRPr="00E7466F" w:rsidRDefault="00E7466F" w:rsidP="00887470">
            <w:pPr>
              <w:jc w:val="center"/>
              <w:rPr>
                <w:rFonts w:ascii="Times New Roman" w:hAnsi="Times New Roman"/>
                <w:bCs/>
                <w:caps/>
                <w:sz w:val="24"/>
                <w:szCs w:val="24"/>
              </w:rPr>
            </w:pPr>
            <w:r w:rsidRPr="00E7466F">
              <w:rPr>
                <w:rFonts w:ascii="Times New Roman" w:hAnsi="Times New Roman"/>
                <w:bCs/>
                <w:caps/>
                <w:sz w:val="24"/>
                <w:szCs w:val="24"/>
              </w:rPr>
              <w:t>4</w:t>
            </w:r>
          </w:p>
        </w:tc>
      </w:tr>
      <w:tr w:rsidR="00795F95" w:rsidRPr="004120A7" w:rsidTr="00060A5C">
        <w:tc>
          <w:tcPr>
            <w:tcW w:w="610" w:type="dxa"/>
          </w:tcPr>
          <w:p w:rsidR="00795F95" w:rsidRPr="00DE6091" w:rsidRDefault="00DE6091" w:rsidP="00887470">
            <w:pPr>
              <w:jc w:val="center"/>
              <w:rPr>
                <w:rFonts w:ascii="Times New Roman" w:hAnsi="Times New Roman"/>
                <w:bCs/>
                <w:caps/>
                <w:sz w:val="24"/>
                <w:szCs w:val="24"/>
              </w:rPr>
            </w:pPr>
            <w:r w:rsidRPr="00DE6091">
              <w:rPr>
                <w:rFonts w:ascii="Times New Roman" w:hAnsi="Times New Roman"/>
                <w:bCs/>
                <w:caps/>
                <w:sz w:val="24"/>
                <w:szCs w:val="24"/>
              </w:rPr>
              <w:t>5.12</w:t>
            </w:r>
          </w:p>
        </w:tc>
        <w:tc>
          <w:tcPr>
            <w:tcW w:w="7011" w:type="dxa"/>
          </w:tcPr>
          <w:p w:rsidR="00795F95" w:rsidRPr="004120A7" w:rsidRDefault="00E7466F" w:rsidP="00E7466F">
            <w:proofErr w:type="spellStart"/>
            <w:r>
              <w:t>Atminimo</w:t>
            </w:r>
            <w:proofErr w:type="spellEnd"/>
            <w:r>
              <w:t xml:space="preserve"> </w:t>
            </w:r>
            <w:proofErr w:type="spellStart"/>
            <w:r>
              <w:t>lenta</w:t>
            </w:r>
            <w:proofErr w:type="spellEnd"/>
          </w:p>
        </w:tc>
        <w:tc>
          <w:tcPr>
            <w:tcW w:w="2233" w:type="dxa"/>
          </w:tcPr>
          <w:p w:rsidR="00795F95" w:rsidRPr="00E7466F" w:rsidRDefault="00E7466F" w:rsidP="00887470">
            <w:pPr>
              <w:jc w:val="center"/>
              <w:rPr>
                <w:rFonts w:ascii="Times New Roman" w:hAnsi="Times New Roman"/>
                <w:bCs/>
                <w:caps/>
                <w:sz w:val="24"/>
                <w:szCs w:val="24"/>
              </w:rPr>
            </w:pPr>
            <w:r w:rsidRPr="00E7466F">
              <w:rPr>
                <w:rFonts w:ascii="Times New Roman" w:hAnsi="Times New Roman"/>
                <w:bCs/>
                <w:caps/>
                <w:sz w:val="24"/>
                <w:szCs w:val="24"/>
              </w:rPr>
              <w:t>11</w:t>
            </w:r>
          </w:p>
        </w:tc>
      </w:tr>
      <w:tr w:rsidR="00795F95" w:rsidRPr="004120A7" w:rsidTr="00060A5C">
        <w:tc>
          <w:tcPr>
            <w:tcW w:w="610" w:type="dxa"/>
          </w:tcPr>
          <w:p w:rsidR="00795F95" w:rsidRPr="00DE6091" w:rsidRDefault="00DE6091" w:rsidP="00887470">
            <w:pPr>
              <w:jc w:val="center"/>
              <w:rPr>
                <w:rFonts w:ascii="Times New Roman" w:hAnsi="Times New Roman"/>
                <w:bCs/>
                <w:caps/>
                <w:sz w:val="24"/>
                <w:szCs w:val="24"/>
              </w:rPr>
            </w:pPr>
            <w:r w:rsidRPr="00DE6091">
              <w:rPr>
                <w:rFonts w:ascii="Times New Roman" w:hAnsi="Times New Roman"/>
                <w:bCs/>
                <w:caps/>
                <w:sz w:val="24"/>
                <w:szCs w:val="24"/>
              </w:rPr>
              <w:t>5.13</w:t>
            </w:r>
          </w:p>
        </w:tc>
        <w:tc>
          <w:tcPr>
            <w:tcW w:w="7011" w:type="dxa"/>
          </w:tcPr>
          <w:p w:rsidR="00795F95" w:rsidRPr="004120A7" w:rsidRDefault="00E7466F" w:rsidP="00E7466F">
            <w:proofErr w:type="spellStart"/>
            <w:r>
              <w:t>Vejapjovė</w:t>
            </w:r>
            <w:proofErr w:type="spellEnd"/>
          </w:p>
        </w:tc>
        <w:tc>
          <w:tcPr>
            <w:tcW w:w="2233" w:type="dxa"/>
          </w:tcPr>
          <w:p w:rsidR="00795F95" w:rsidRPr="00E7466F" w:rsidRDefault="00E7466F" w:rsidP="00887470">
            <w:pPr>
              <w:jc w:val="center"/>
              <w:rPr>
                <w:rFonts w:ascii="Times New Roman" w:hAnsi="Times New Roman"/>
                <w:bCs/>
                <w:caps/>
                <w:sz w:val="24"/>
                <w:szCs w:val="24"/>
              </w:rPr>
            </w:pPr>
            <w:r w:rsidRPr="00E7466F">
              <w:rPr>
                <w:rFonts w:ascii="Times New Roman" w:hAnsi="Times New Roman"/>
                <w:bCs/>
                <w:caps/>
                <w:sz w:val="24"/>
                <w:szCs w:val="24"/>
              </w:rPr>
              <w:t>5</w:t>
            </w:r>
          </w:p>
        </w:tc>
      </w:tr>
      <w:tr w:rsidR="00795F95" w:rsidRPr="004120A7" w:rsidTr="00060A5C">
        <w:tc>
          <w:tcPr>
            <w:tcW w:w="610" w:type="dxa"/>
          </w:tcPr>
          <w:p w:rsidR="00795F95" w:rsidRPr="00DE6091" w:rsidRDefault="00DE6091" w:rsidP="00887470">
            <w:pPr>
              <w:jc w:val="center"/>
              <w:rPr>
                <w:rFonts w:ascii="Times New Roman" w:hAnsi="Times New Roman"/>
                <w:bCs/>
                <w:caps/>
                <w:sz w:val="24"/>
                <w:szCs w:val="24"/>
              </w:rPr>
            </w:pPr>
            <w:r w:rsidRPr="00DE6091">
              <w:rPr>
                <w:rFonts w:ascii="Times New Roman" w:hAnsi="Times New Roman"/>
                <w:bCs/>
                <w:caps/>
                <w:sz w:val="24"/>
                <w:szCs w:val="24"/>
              </w:rPr>
              <w:t>5.14</w:t>
            </w:r>
          </w:p>
        </w:tc>
        <w:tc>
          <w:tcPr>
            <w:tcW w:w="7011" w:type="dxa"/>
          </w:tcPr>
          <w:p w:rsidR="00795F95" w:rsidRPr="004120A7" w:rsidRDefault="00E7466F" w:rsidP="00E7466F">
            <w:proofErr w:type="spellStart"/>
            <w:r>
              <w:t>Termosas</w:t>
            </w:r>
            <w:proofErr w:type="spellEnd"/>
          </w:p>
        </w:tc>
        <w:tc>
          <w:tcPr>
            <w:tcW w:w="2233" w:type="dxa"/>
          </w:tcPr>
          <w:p w:rsidR="00795F95" w:rsidRPr="00E7466F" w:rsidRDefault="00E7466F" w:rsidP="00887470">
            <w:pPr>
              <w:jc w:val="center"/>
              <w:rPr>
                <w:rFonts w:ascii="Times New Roman" w:hAnsi="Times New Roman"/>
                <w:bCs/>
                <w:caps/>
                <w:sz w:val="24"/>
                <w:szCs w:val="24"/>
              </w:rPr>
            </w:pPr>
            <w:r w:rsidRPr="00E7466F">
              <w:rPr>
                <w:rFonts w:ascii="Times New Roman" w:hAnsi="Times New Roman"/>
                <w:bCs/>
                <w:caps/>
                <w:sz w:val="24"/>
                <w:szCs w:val="24"/>
              </w:rPr>
              <w:t>5</w:t>
            </w:r>
          </w:p>
        </w:tc>
      </w:tr>
      <w:tr w:rsidR="00795F95" w:rsidRPr="004120A7" w:rsidTr="00060A5C">
        <w:tc>
          <w:tcPr>
            <w:tcW w:w="610" w:type="dxa"/>
          </w:tcPr>
          <w:p w:rsidR="00795F95" w:rsidRPr="00DE6091" w:rsidRDefault="00DE6091" w:rsidP="00887470">
            <w:pPr>
              <w:jc w:val="center"/>
              <w:rPr>
                <w:rFonts w:ascii="Times New Roman" w:hAnsi="Times New Roman"/>
                <w:bCs/>
                <w:caps/>
                <w:sz w:val="24"/>
                <w:szCs w:val="24"/>
              </w:rPr>
            </w:pPr>
            <w:r w:rsidRPr="00DE6091">
              <w:rPr>
                <w:rFonts w:ascii="Times New Roman" w:hAnsi="Times New Roman"/>
                <w:bCs/>
                <w:caps/>
                <w:sz w:val="24"/>
                <w:szCs w:val="24"/>
              </w:rPr>
              <w:t>5.15</w:t>
            </w:r>
          </w:p>
        </w:tc>
        <w:tc>
          <w:tcPr>
            <w:tcW w:w="7011" w:type="dxa"/>
          </w:tcPr>
          <w:p w:rsidR="00795F95" w:rsidRPr="004120A7" w:rsidRDefault="00E7466F" w:rsidP="00E7466F">
            <w:proofErr w:type="spellStart"/>
            <w:r>
              <w:t>Slaugos</w:t>
            </w:r>
            <w:proofErr w:type="spellEnd"/>
            <w:r>
              <w:t xml:space="preserve"> </w:t>
            </w:r>
            <w:proofErr w:type="spellStart"/>
            <w:r>
              <w:t>lovos</w:t>
            </w:r>
            <w:proofErr w:type="spellEnd"/>
            <w:r>
              <w:t xml:space="preserve"> </w:t>
            </w:r>
            <w:proofErr w:type="spellStart"/>
            <w:r>
              <w:t>su</w:t>
            </w:r>
            <w:proofErr w:type="spellEnd"/>
            <w:r>
              <w:t xml:space="preserve"> čiužiniais</w:t>
            </w:r>
          </w:p>
        </w:tc>
        <w:tc>
          <w:tcPr>
            <w:tcW w:w="2233" w:type="dxa"/>
          </w:tcPr>
          <w:p w:rsidR="00795F95" w:rsidRPr="00E7466F" w:rsidRDefault="00E7466F" w:rsidP="00887470">
            <w:pPr>
              <w:jc w:val="center"/>
              <w:rPr>
                <w:rFonts w:ascii="Times New Roman" w:hAnsi="Times New Roman"/>
                <w:bCs/>
                <w:caps/>
                <w:sz w:val="24"/>
                <w:szCs w:val="24"/>
              </w:rPr>
            </w:pPr>
            <w:r w:rsidRPr="00E7466F">
              <w:rPr>
                <w:rFonts w:ascii="Times New Roman" w:hAnsi="Times New Roman"/>
                <w:bCs/>
                <w:caps/>
                <w:sz w:val="24"/>
                <w:szCs w:val="24"/>
              </w:rPr>
              <w:t>10</w:t>
            </w:r>
          </w:p>
        </w:tc>
      </w:tr>
    </w:tbl>
    <w:p w:rsidR="00DE6091" w:rsidRDefault="00887470" w:rsidP="00DE6091">
      <w:pPr>
        <w:pStyle w:val="Hyperlink1"/>
        <w:spacing w:line="360" w:lineRule="auto"/>
        <w:ind w:firstLine="709"/>
        <w:rPr>
          <w:sz w:val="24"/>
          <w:szCs w:val="24"/>
          <w:lang w:val="lt-LT"/>
        </w:rPr>
      </w:pPr>
      <w:r>
        <w:rPr>
          <w:sz w:val="24"/>
          <w:szCs w:val="24"/>
          <w:lang w:val="lt-LT"/>
        </w:rPr>
        <w:t>Nusidėvėjimas skaičiuojamas taikanti tiesinį nusidėvėjimo skaičiavimo metodą.</w:t>
      </w:r>
    </w:p>
    <w:p w:rsidR="00DE6091" w:rsidRDefault="00887470" w:rsidP="00DE6091">
      <w:pPr>
        <w:pStyle w:val="Hyperlink1"/>
        <w:spacing w:line="360" w:lineRule="auto"/>
        <w:ind w:firstLine="709"/>
        <w:rPr>
          <w:lang w:val="lt-LT"/>
        </w:rPr>
      </w:pPr>
      <w:r w:rsidRPr="00DE6091">
        <w:rPr>
          <w:lang w:val="lt-LT"/>
        </w:rPr>
        <w:t>Turto, kurio kontrolę riboja sutartys ar teisės aktai ir turto, užstatyto kaip įsipareigojimų įvykdymo garantija centre nėra.</w:t>
      </w:r>
    </w:p>
    <w:p w:rsidR="00DE6091" w:rsidRDefault="00887470" w:rsidP="00DE6091">
      <w:pPr>
        <w:pStyle w:val="Hyperlink1"/>
        <w:spacing w:line="360" w:lineRule="auto"/>
        <w:ind w:firstLine="709"/>
        <w:rPr>
          <w:lang w:val="lt-LT"/>
        </w:rPr>
      </w:pPr>
      <w:r w:rsidRPr="00DE6091">
        <w:rPr>
          <w:lang w:val="lt-LT"/>
        </w:rPr>
        <w:t>Turto, kuris nenaudojamas veikloje ir turto, kuris laikinai nenaudojamas centro veikloje – nėra.</w:t>
      </w:r>
    </w:p>
    <w:p w:rsidR="00DE6091" w:rsidRDefault="00887470" w:rsidP="00DE6091">
      <w:pPr>
        <w:pStyle w:val="Hyperlink1"/>
        <w:spacing w:line="360" w:lineRule="auto"/>
        <w:ind w:firstLine="709"/>
        <w:rPr>
          <w:lang w:val="lt-LT"/>
        </w:rPr>
      </w:pPr>
      <w:r w:rsidRPr="00DE6091">
        <w:rPr>
          <w:lang w:val="lt-LT"/>
        </w:rPr>
        <w:lastRenderedPageBreak/>
        <w:t>Žemės ir pastatų, kurie nenaudojami įprastinėje veikloje ir laikomi vien tiktai pajamomis iš nuomos – nėra.</w:t>
      </w:r>
    </w:p>
    <w:p w:rsidR="00DE6091" w:rsidRDefault="00887470" w:rsidP="00084BC0">
      <w:pPr>
        <w:pStyle w:val="Hyperlink1"/>
        <w:spacing w:line="360" w:lineRule="auto"/>
        <w:ind w:firstLine="709"/>
        <w:jc w:val="both"/>
        <w:rPr>
          <w:lang w:val="lt-LT"/>
        </w:rPr>
      </w:pPr>
      <w:r w:rsidRPr="00DE6091">
        <w:rPr>
          <w:lang w:val="lt-LT"/>
        </w:rPr>
        <w:t>Turto, įsigyto pagal finansinės nuomos (lizingo) sutartis, kurio finansinės nuomos (lizingo) sutarties laikotarpis pasibaigęs, nėra.</w:t>
      </w:r>
    </w:p>
    <w:p w:rsidR="00DE6091" w:rsidRDefault="00887470" w:rsidP="00084BC0">
      <w:pPr>
        <w:pStyle w:val="Hyperlink1"/>
        <w:spacing w:line="360" w:lineRule="auto"/>
        <w:ind w:firstLine="709"/>
        <w:jc w:val="both"/>
        <w:rPr>
          <w:lang w:val="lt-LT"/>
        </w:rPr>
      </w:pPr>
      <w:r w:rsidRPr="00DE6091">
        <w:rPr>
          <w:lang w:val="lt-LT"/>
        </w:rPr>
        <w:t>Sutarčių, pasirašytų dėl il</w:t>
      </w:r>
      <w:r w:rsidR="00DE6091">
        <w:rPr>
          <w:lang w:val="lt-LT"/>
        </w:rPr>
        <w:t>galaikio materialiojo turto įsi</w:t>
      </w:r>
      <w:r w:rsidRPr="00DE6091">
        <w:rPr>
          <w:lang w:val="lt-LT"/>
        </w:rPr>
        <w:t>gijimo ateityje paskutinę ataskaitinio laikotarpio dieną nėra.</w:t>
      </w:r>
    </w:p>
    <w:p w:rsidR="00DE6091" w:rsidRDefault="00887470" w:rsidP="00084BC0">
      <w:pPr>
        <w:pStyle w:val="Hyperlink1"/>
        <w:spacing w:line="360" w:lineRule="auto"/>
        <w:ind w:firstLine="709"/>
        <w:jc w:val="both"/>
        <w:rPr>
          <w:lang w:val="lt-LT"/>
        </w:rPr>
      </w:pPr>
      <w:r w:rsidRPr="00DE6091">
        <w:rPr>
          <w:lang w:val="lt-LT"/>
        </w:rPr>
        <w:t>Turto pergrupavimo iš vienos turto grupės į kitą ataskaitiniame laikotarpyje nebuvo.</w:t>
      </w:r>
    </w:p>
    <w:p w:rsidR="00887470" w:rsidRPr="00DE6091" w:rsidRDefault="00887470" w:rsidP="00084BC0">
      <w:pPr>
        <w:pStyle w:val="Hyperlink1"/>
        <w:spacing w:line="360" w:lineRule="auto"/>
        <w:ind w:firstLine="709"/>
        <w:jc w:val="both"/>
        <w:rPr>
          <w:lang w:val="lt-LT"/>
        </w:rPr>
      </w:pPr>
      <w:r w:rsidRPr="00DE6091">
        <w:rPr>
          <w:lang w:val="lt-LT"/>
        </w:rPr>
        <w:t>Centras neturi ilgalaikio materialiojo turto, priskirto prie žemės, kilnojamųjų ar nekilnojamųjų kultūros vertybių grupių.</w:t>
      </w:r>
    </w:p>
    <w:p w:rsidR="00887470" w:rsidRPr="00084BC0" w:rsidRDefault="00887470" w:rsidP="00084BC0">
      <w:pPr>
        <w:pStyle w:val="Pagrindinistekstas"/>
        <w:spacing w:after="0"/>
        <w:jc w:val="both"/>
        <w:rPr>
          <w:rFonts w:ascii="Times New Roman" w:hAnsi="Times New Roman"/>
          <w:lang w:val="lt-LT"/>
        </w:rPr>
      </w:pPr>
      <w:r w:rsidRPr="00084BC0">
        <w:rPr>
          <w:rFonts w:ascii="Times New Roman" w:hAnsi="Times New Roman"/>
          <w:lang w:val="lt-LT"/>
        </w:rPr>
        <w:t>Bankui perduoto turto nėra..</w:t>
      </w:r>
    </w:p>
    <w:p w:rsidR="00DE6091" w:rsidRDefault="00887470" w:rsidP="00084BC0">
      <w:pPr>
        <w:pStyle w:val="Hyperlink1"/>
        <w:spacing w:line="360" w:lineRule="auto"/>
        <w:ind w:firstLine="709"/>
        <w:jc w:val="both"/>
        <w:rPr>
          <w:color w:val="auto"/>
          <w:sz w:val="24"/>
          <w:szCs w:val="24"/>
          <w:lang w:val="lt-LT"/>
        </w:rPr>
      </w:pPr>
      <w:r>
        <w:rPr>
          <w:color w:val="auto"/>
          <w:sz w:val="24"/>
          <w:szCs w:val="24"/>
          <w:lang w:val="lt-LT"/>
        </w:rPr>
        <w:t xml:space="preserve">Įstaiga rengia konsoliduotą finansinių ataskaitų rinkinį. </w:t>
      </w:r>
    </w:p>
    <w:p w:rsidR="00DE6091" w:rsidRDefault="00887470" w:rsidP="00084BC0">
      <w:pPr>
        <w:pStyle w:val="Hyperlink1"/>
        <w:spacing w:line="360" w:lineRule="auto"/>
        <w:ind w:firstLine="709"/>
        <w:jc w:val="both"/>
        <w:rPr>
          <w:color w:val="FF0000"/>
          <w:sz w:val="24"/>
          <w:szCs w:val="24"/>
          <w:lang w:val="lt-LT"/>
        </w:rPr>
      </w:pPr>
      <w:r w:rsidRPr="00DE6091">
        <w:rPr>
          <w:b/>
          <w:lang w:val="lt-LT"/>
        </w:rPr>
        <w:t>Finansinis turtas</w:t>
      </w:r>
      <w:r w:rsidRPr="00DE6091">
        <w:rPr>
          <w:lang w:val="lt-LT"/>
        </w:rPr>
        <w:t xml:space="preserve"> įstaigos apskaitoje registruojamas tik tada, kai įstaiga gauna arba pagal vykdomą sutartį įgyja teisę gauti pinigus ar kitą finansinį turtą.</w:t>
      </w:r>
    </w:p>
    <w:p w:rsidR="00887470" w:rsidRPr="00DE6091" w:rsidRDefault="00887470" w:rsidP="00084BC0">
      <w:pPr>
        <w:pStyle w:val="Hyperlink1"/>
        <w:spacing w:line="360" w:lineRule="auto"/>
        <w:ind w:firstLine="709"/>
        <w:jc w:val="both"/>
        <w:rPr>
          <w:color w:val="FF0000"/>
          <w:sz w:val="24"/>
          <w:szCs w:val="24"/>
          <w:lang w:val="lt-LT"/>
        </w:rPr>
      </w:pPr>
      <w:r>
        <w:rPr>
          <w:b/>
          <w:sz w:val="24"/>
          <w:szCs w:val="24"/>
          <w:lang w:val="lt-LT"/>
        </w:rPr>
        <w:t>Finansiniai įsipareigojimai</w:t>
      </w:r>
      <w:r>
        <w:rPr>
          <w:sz w:val="24"/>
          <w:szCs w:val="24"/>
          <w:lang w:val="lt-LT"/>
        </w:rPr>
        <w:t xml:space="preserve"> įstaigos apskaitoje yra skirstomi į ilgalaikius ir trumpalaikius įsipareigojimus. </w:t>
      </w:r>
      <w:r>
        <w:rPr>
          <w:bCs/>
          <w:sz w:val="24"/>
          <w:szCs w:val="24"/>
          <w:lang w:val="lt-LT"/>
        </w:rPr>
        <w:t>Ilgalaikis finansinis įsipareigojimas</w:t>
      </w:r>
      <w:r>
        <w:rPr>
          <w:sz w:val="24"/>
          <w:szCs w:val="24"/>
          <w:lang w:val="lt-LT"/>
        </w:rPr>
        <w:t xml:space="preserve"> – finansinis įsipareigojimas, kurį privaloma įvykdyti ne anksčiau kaip po 12 mėnesių, skaičiuojant nuo paskutinės einamojo ataskaitinio laikotarpio dienos. </w:t>
      </w:r>
      <w:r>
        <w:rPr>
          <w:bCs/>
          <w:sz w:val="24"/>
          <w:szCs w:val="24"/>
          <w:lang w:val="lt-LT"/>
        </w:rPr>
        <w:t>Trumpalaikis finansinis įsipareigojimas</w:t>
      </w:r>
      <w:r>
        <w:rPr>
          <w:sz w:val="24"/>
          <w:szCs w:val="24"/>
          <w:lang w:val="lt-LT"/>
        </w:rPr>
        <w:t> – finansinis įsipareigojimas, kurį privaloma įvykdyti per 12 mėnesių, skaičiuojant nuo paskutinės einamojo ataskaitinio laikotarpio dienos. Finansiniai įsipareigojimai apskaitoje registruojami tik tada, kai yra įvykdomos visos sąlygos, nustatytos įsipareigojimui atsirasti, ir įstaiga prisiima įsipareigojimą sumokėti pinigus ar atsiskaityti kitu finansiniu turtu.</w:t>
      </w:r>
    </w:p>
    <w:p w:rsidR="00887470" w:rsidRDefault="00887470" w:rsidP="00084BC0">
      <w:pPr>
        <w:pStyle w:val="Hyperlink1"/>
        <w:spacing w:line="360" w:lineRule="auto"/>
        <w:jc w:val="both"/>
        <w:rPr>
          <w:sz w:val="24"/>
          <w:szCs w:val="24"/>
          <w:lang w:val="lt-LT"/>
        </w:rPr>
      </w:pPr>
      <w:r>
        <w:rPr>
          <w:b/>
          <w:sz w:val="24"/>
          <w:szCs w:val="24"/>
          <w:lang w:val="lt-LT"/>
        </w:rPr>
        <w:t>Finansavimo sumos</w:t>
      </w:r>
      <w:r>
        <w:rPr>
          <w:sz w:val="24"/>
          <w:szCs w:val="24"/>
          <w:lang w:val="lt-LT"/>
        </w:rPr>
        <w:t xml:space="preserve"> pripažįstamos, kai atitinka 20-ajame VSAFAS ,,Finansavimo sumos‘‘ nustatytus kriterijus. </w:t>
      </w:r>
    </w:p>
    <w:p w:rsidR="00887470" w:rsidRDefault="00887470" w:rsidP="00084BC0">
      <w:pPr>
        <w:pStyle w:val="Hyperlink1"/>
        <w:spacing w:line="360" w:lineRule="auto"/>
        <w:jc w:val="both"/>
        <w:rPr>
          <w:sz w:val="24"/>
          <w:szCs w:val="24"/>
          <w:lang w:val="lt-LT"/>
        </w:rPr>
      </w:pPr>
      <w:r>
        <w:rPr>
          <w:sz w:val="24"/>
          <w:szCs w:val="24"/>
          <w:lang w:val="lt-LT"/>
        </w:rPr>
        <w:t xml:space="preserve">Finansavimo sumos pagal paskirtį skirstomos į finansavimo sumas nepiniginiam turtui įsigyti ir finansavimo sumas kitoms išlaidoms kompensuoti. </w:t>
      </w:r>
    </w:p>
    <w:p w:rsidR="00887470" w:rsidRDefault="00887470" w:rsidP="00084BC0">
      <w:pPr>
        <w:pStyle w:val="Hyperlink1"/>
        <w:spacing w:line="360" w:lineRule="auto"/>
        <w:jc w:val="both"/>
        <w:rPr>
          <w:sz w:val="24"/>
          <w:szCs w:val="24"/>
          <w:lang w:val="lt-LT"/>
        </w:rPr>
      </w:pPr>
      <w:r>
        <w:rPr>
          <w:sz w:val="24"/>
          <w:szCs w:val="24"/>
          <w:lang w:val="lt-LT"/>
        </w:rPr>
        <w:t>Finansavimo sumos nepiniginiam turtui įsigyti apima nemokamai gautą arba už simbolinį atlygį įsigytą nepiniginį turtą.</w:t>
      </w:r>
    </w:p>
    <w:p w:rsidR="00887470" w:rsidRDefault="00887470" w:rsidP="00084BC0">
      <w:pPr>
        <w:pStyle w:val="Hyperlink1"/>
        <w:spacing w:line="360" w:lineRule="auto"/>
        <w:jc w:val="both"/>
        <w:rPr>
          <w:sz w:val="24"/>
          <w:szCs w:val="24"/>
          <w:lang w:val="lt-LT"/>
        </w:rPr>
      </w:pPr>
      <w:r>
        <w:rPr>
          <w:sz w:val="24"/>
          <w:szCs w:val="24"/>
          <w:lang w:val="lt-LT"/>
        </w:rPr>
        <w:t>Finansavimo sumos kitoms išlaidoms dengti yra skirtos ataskaitinio laikotarpio išlaidoms kompensuoti. Taip pat finansavimo sumomis, skirtomis kitoms išlaidoms kompensuoti ra laikomos likusios finansavimo sumos, kurios nepriskiriamos nepiniginiam turtui įsigyti.</w:t>
      </w:r>
    </w:p>
    <w:p w:rsidR="00887470" w:rsidRDefault="00887470" w:rsidP="00084BC0">
      <w:pPr>
        <w:pStyle w:val="Hyperlink1"/>
        <w:spacing w:line="360" w:lineRule="auto"/>
        <w:jc w:val="both"/>
        <w:rPr>
          <w:sz w:val="24"/>
          <w:szCs w:val="24"/>
          <w:lang w:val="lt-LT"/>
        </w:rPr>
      </w:pPr>
      <w:r>
        <w:rPr>
          <w:sz w:val="24"/>
          <w:szCs w:val="24"/>
          <w:lang w:val="lt-LT"/>
        </w:rPr>
        <w:lastRenderedPageBreak/>
        <w:t>Gautos (gautinos) ir panaudotos finansavimo sumos arba jų dalis pripažįstamos finansavimo pajamomis tais laikotarpiais, kuriais padaromos su finansavimo sumomis susijusios sąnaudos.</w:t>
      </w:r>
    </w:p>
    <w:p w:rsidR="00887470" w:rsidRPr="00DE6091" w:rsidRDefault="00887470" w:rsidP="00084BC0">
      <w:pPr>
        <w:pStyle w:val="Hyperlink1"/>
        <w:spacing w:line="360" w:lineRule="auto"/>
        <w:ind w:firstLine="720"/>
        <w:jc w:val="both"/>
        <w:rPr>
          <w:rFonts w:cs="Times New Roman"/>
          <w:sz w:val="24"/>
          <w:szCs w:val="24"/>
          <w:lang w:val="lt-LT"/>
        </w:rPr>
      </w:pPr>
      <w:r>
        <w:rPr>
          <w:b/>
          <w:sz w:val="24"/>
          <w:szCs w:val="24"/>
          <w:lang w:val="lt-LT"/>
        </w:rPr>
        <w:t>Atsargomis</w:t>
      </w:r>
      <w:r>
        <w:rPr>
          <w:sz w:val="24"/>
          <w:szCs w:val="24"/>
          <w:lang w:val="lt-LT"/>
        </w:rPr>
        <w:t xml:space="preserve"> laikomas įstaigos trumpalaikis turtas, kurį įstaiga per vienus metus sunaudoja pajamoms uždirbti ar viešosioms paslaugoms teikti arba kuris yra laikomas numatant jį parduoti ar paskirstyti vykdant įprastą veiklą, taip pat nebaigtų gaminti prekių ir nebaigtų teikti paslaugų vertė vykdant trumpalaikes sutartis. Atsargomis taip pat laikomas įstaigos </w:t>
      </w:r>
      <w:r>
        <w:rPr>
          <w:bCs/>
          <w:sz w:val="24"/>
          <w:szCs w:val="24"/>
          <w:lang w:val="lt-LT"/>
        </w:rPr>
        <w:t>ūkinis inventorius</w:t>
      </w:r>
      <w:r>
        <w:rPr>
          <w:sz w:val="24"/>
          <w:szCs w:val="24"/>
          <w:lang w:val="lt-LT"/>
        </w:rPr>
        <w:t xml:space="preserve"> - materialusis turtas, kuris yra naudojamas daugiau nei vieną kartą ir kurio įsigijimo ar pasigaminimo savikaina mažesnė už Vyriausybės nustatytą minimalią įstaigos ilgalaikio materialiojo turto vertę. Registruojant atsargas apskaitoje, jos įvertinamos įsigijimo ar pasigaminimo savikaina, o sudarant </w:t>
      </w:r>
      <w:r w:rsidRPr="00DE6091">
        <w:rPr>
          <w:rFonts w:cs="Times New Roman"/>
          <w:sz w:val="24"/>
          <w:szCs w:val="24"/>
          <w:lang w:val="lt-LT"/>
        </w:rPr>
        <w:t>finansines ataskaitas – įsigijimo ar pasigaminimo savikaina arba grynąja realizavimo verte.</w:t>
      </w:r>
    </w:p>
    <w:p w:rsidR="00887470" w:rsidRPr="003B6CA8" w:rsidRDefault="00887470" w:rsidP="00084BC0">
      <w:pPr>
        <w:jc w:val="both"/>
        <w:rPr>
          <w:rFonts w:ascii="Times New Roman" w:hAnsi="Times New Roman" w:cs="Times New Roman"/>
          <w:lang w:val="lt-LT"/>
        </w:rPr>
      </w:pPr>
      <w:r w:rsidRPr="003B6CA8">
        <w:rPr>
          <w:rFonts w:ascii="Times New Roman" w:hAnsi="Times New Roman" w:cs="Times New Roman"/>
          <w:lang w:val="lt-LT"/>
        </w:rPr>
        <w:t>Kai atsargos (įskaitant nebaigtas vykdyti sutartis) parduodamos (įskaitant mainus, jei jie galimi) ar kitaip perleidžiamos/ perduodamos, jų balansinė vertė turi būti pripažįstama to</w:t>
      </w:r>
      <w:r w:rsidR="00DE6091" w:rsidRPr="003B6CA8">
        <w:rPr>
          <w:rFonts w:ascii="Times New Roman" w:hAnsi="Times New Roman" w:cs="Times New Roman"/>
          <w:lang w:val="lt-LT"/>
        </w:rPr>
        <w:t xml:space="preserve"> laikotarpio sąnaudomis, kurios </w:t>
      </w:r>
      <w:r w:rsidRPr="003B6CA8">
        <w:rPr>
          <w:rFonts w:ascii="Times New Roman" w:hAnsi="Times New Roman" w:cs="Times New Roman"/>
          <w:lang w:val="lt-LT"/>
        </w:rPr>
        <w:t>pripažįstamos atitinkamos pajamos arba suteikiamos viešosios</w:t>
      </w:r>
      <w:r w:rsidR="003B6CA8">
        <w:rPr>
          <w:rFonts w:ascii="Times New Roman" w:hAnsi="Times New Roman" w:cs="Times New Roman"/>
          <w:lang w:val="lt-LT"/>
        </w:rPr>
        <w:t xml:space="preserve"> </w:t>
      </w:r>
      <w:r w:rsidRPr="003B6CA8">
        <w:rPr>
          <w:rFonts w:ascii="Times New Roman" w:hAnsi="Times New Roman" w:cs="Times New Roman"/>
          <w:sz w:val="24"/>
          <w:szCs w:val="24"/>
          <w:lang w:val="lt-LT"/>
        </w:rPr>
        <w:t>paslaugos. Atiduoto naudoti įstaigos veikloje ūkinio inventoriaus vertė iš karto pripažįstama sąnaudomis.</w:t>
      </w:r>
    </w:p>
    <w:p w:rsidR="00887470" w:rsidRDefault="00887470" w:rsidP="00084BC0">
      <w:pPr>
        <w:pStyle w:val="Hyperlink1"/>
        <w:spacing w:line="360" w:lineRule="auto"/>
        <w:ind w:firstLine="720"/>
        <w:jc w:val="both"/>
        <w:rPr>
          <w:sz w:val="24"/>
          <w:szCs w:val="24"/>
          <w:lang w:val="lt-LT"/>
        </w:rPr>
      </w:pPr>
      <w:r>
        <w:rPr>
          <w:b/>
          <w:bCs/>
          <w:sz w:val="24"/>
          <w:szCs w:val="24"/>
          <w:lang w:val="lt-LT"/>
        </w:rPr>
        <w:t>Pinigai </w:t>
      </w:r>
      <w:r>
        <w:rPr>
          <w:sz w:val="24"/>
          <w:szCs w:val="24"/>
          <w:lang w:val="lt-LT"/>
        </w:rPr>
        <w:t xml:space="preserve">– pinigai, esantys kasoje, bankų sąskaitose ir pervesti, bet dar negauti pinigai. </w:t>
      </w:r>
    </w:p>
    <w:p w:rsidR="00887470" w:rsidRPr="00084BC0" w:rsidRDefault="00887470" w:rsidP="00084BC0">
      <w:pPr>
        <w:ind w:firstLine="360"/>
        <w:jc w:val="both"/>
        <w:rPr>
          <w:rFonts w:ascii="Times New Roman" w:hAnsi="Times New Roman"/>
          <w:b/>
          <w:bCs/>
          <w:caps/>
          <w:sz w:val="28"/>
          <w:szCs w:val="28"/>
          <w:lang w:val="lt-LT"/>
        </w:rPr>
      </w:pPr>
    </w:p>
    <w:p w:rsidR="00887470" w:rsidRPr="00084BC0" w:rsidRDefault="002637D3" w:rsidP="002637D3">
      <w:pPr>
        <w:rPr>
          <w:lang w:val="lt-LT"/>
        </w:rPr>
      </w:pPr>
      <w:r w:rsidRPr="00084BC0">
        <w:rPr>
          <w:lang w:val="lt-LT"/>
        </w:rPr>
        <w:t>Direktorė</w:t>
      </w:r>
      <w:r w:rsidRPr="00084BC0">
        <w:rPr>
          <w:lang w:val="lt-LT"/>
        </w:rPr>
        <w:tab/>
      </w:r>
      <w:r w:rsidRPr="00084BC0">
        <w:rPr>
          <w:lang w:val="lt-LT"/>
        </w:rPr>
        <w:tab/>
      </w:r>
      <w:r w:rsidRPr="00084BC0">
        <w:rPr>
          <w:lang w:val="lt-LT"/>
        </w:rPr>
        <w:tab/>
      </w:r>
      <w:r w:rsidRPr="00084BC0">
        <w:rPr>
          <w:lang w:val="lt-LT"/>
        </w:rPr>
        <w:tab/>
      </w:r>
      <w:r w:rsidRPr="00084BC0">
        <w:rPr>
          <w:lang w:val="lt-LT"/>
        </w:rPr>
        <w:tab/>
        <w:t>Irena Kalkienė</w:t>
      </w:r>
    </w:p>
    <w:p w:rsidR="002637D3" w:rsidRPr="00084BC0" w:rsidRDefault="002637D3" w:rsidP="002637D3">
      <w:pPr>
        <w:rPr>
          <w:lang w:val="lt-LT"/>
        </w:rPr>
      </w:pPr>
      <w:r w:rsidRPr="00084BC0">
        <w:rPr>
          <w:lang w:val="lt-LT"/>
        </w:rPr>
        <w:t>Vyr. Buhalterė</w:t>
      </w:r>
      <w:r w:rsidRPr="00084BC0">
        <w:rPr>
          <w:lang w:val="lt-LT"/>
        </w:rPr>
        <w:tab/>
      </w:r>
      <w:r w:rsidRPr="00084BC0">
        <w:rPr>
          <w:lang w:val="lt-LT"/>
        </w:rPr>
        <w:tab/>
      </w:r>
      <w:r w:rsidRPr="00084BC0">
        <w:rPr>
          <w:lang w:val="lt-LT"/>
        </w:rPr>
        <w:tab/>
      </w:r>
      <w:r w:rsidRPr="00084BC0">
        <w:rPr>
          <w:lang w:val="lt-LT"/>
        </w:rPr>
        <w:tab/>
        <w:t>Janina Daudienė</w:t>
      </w:r>
    </w:p>
    <w:p w:rsidR="002637D3" w:rsidRPr="00084BC0" w:rsidRDefault="002637D3" w:rsidP="002637D3">
      <w:pPr>
        <w:rPr>
          <w:lang w:val="lt-LT"/>
        </w:rPr>
      </w:pPr>
    </w:p>
    <w:p w:rsidR="00887470" w:rsidRPr="00084BC0" w:rsidRDefault="00887470" w:rsidP="00887470">
      <w:pPr>
        <w:ind w:firstLine="360"/>
        <w:jc w:val="center"/>
        <w:rPr>
          <w:rFonts w:ascii="Times New Roman" w:hAnsi="Times New Roman"/>
          <w:b/>
          <w:bCs/>
          <w:caps/>
          <w:sz w:val="28"/>
          <w:szCs w:val="28"/>
          <w:lang w:val="lt-LT"/>
        </w:rPr>
      </w:pPr>
    </w:p>
    <w:p w:rsidR="00C64D21" w:rsidRPr="00084BC0" w:rsidRDefault="00C64D21">
      <w:pPr>
        <w:rPr>
          <w:lang w:val="lt-LT"/>
        </w:rPr>
      </w:pPr>
    </w:p>
    <w:p w:rsidR="00887470" w:rsidRPr="00084BC0" w:rsidRDefault="00887470">
      <w:pPr>
        <w:rPr>
          <w:lang w:val="lt-LT"/>
        </w:rPr>
      </w:pPr>
    </w:p>
    <w:sectPr w:rsidR="00887470" w:rsidRPr="00084BC0" w:rsidSect="00C64D2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0"/>
        </w:tabs>
        <w:ind w:left="1080" w:hanging="360"/>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nsid w:val="579E0AEC"/>
    <w:multiLevelType w:val="hybridMultilevel"/>
    <w:tmpl w:val="67B05D82"/>
    <w:lvl w:ilvl="0" w:tplc="1EFE7B2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1296"/>
  <w:hyphenationZone w:val="396"/>
  <w:characterSpacingControl w:val="doNotCompress"/>
  <w:compat>
    <w:useFELayout/>
  </w:compat>
  <w:rsids>
    <w:rsidRoot w:val="00887470"/>
    <w:rsid w:val="00060A5C"/>
    <w:rsid w:val="00084BC0"/>
    <w:rsid w:val="00246C4B"/>
    <w:rsid w:val="002637D3"/>
    <w:rsid w:val="00296E10"/>
    <w:rsid w:val="002D4725"/>
    <w:rsid w:val="00300410"/>
    <w:rsid w:val="003B6CA8"/>
    <w:rsid w:val="004120A7"/>
    <w:rsid w:val="00795F95"/>
    <w:rsid w:val="00887470"/>
    <w:rsid w:val="008F4F28"/>
    <w:rsid w:val="00AF4326"/>
    <w:rsid w:val="00B32BE1"/>
    <w:rsid w:val="00C64D21"/>
    <w:rsid w:val="00DE6091"/>
    <w:rsid w:val="00E7466F"/>
    <w:rsid w:val="00E87ED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60A5C"/>
  </w:style>
  <w:style w:type="paragraph" w:styleId="Antrat1">
    <w:name w:val="heading 1"/>
    <w:basedOn w:val="prastasis"/>
    <w:next w:val="prastasis"/>
    <w:link w:val="Antrat1Diagrama"/>
    <w:uiPriority w:val="9"/>
    <w:qFormat/>
    <w:rsid w:val="00060A5C"/>
    <w:pPr>
      <w:spacing w:before="480" w:after="0"/>
      <w:contextualSpacing/>
      <w:outlineLvl w:val="0"/>
    </w:pPr>
    <w:rPr>
      <w:smallCaps/>
      <w:spacing w:val="5"/>
      <w:sz w:val="36"/>
      <w:szCs w:val="36"/>
    </w:rPr>
  </w:style>
  <w:style w:type="paragraph" w:styleId="Antrat2">
    <w:name w:val="heading 2"/>
    <w:basedOn w:val="prastasis"/>
    <w:next w:val="prastasis"/>
    <w:link w:val="Antrat2Diagrama"/>
    <w:uiPriority w:val="9"/>
    <w:unhideWhenUsed/>
    <w:qFormat/>
    <w:rsid w:val="00060A5C"/>
    <w:pPr>
      <w:spacing w:before="200" w:after="0" w:line="271" w:lineRule="auto"/>
      <w:outlineLvl w:val="1"/>
    </w:pPr>
    <w:rPr>
      <w:smallCaps/>
      <w:sz w:val="28"/>
      <w:szCs w:val="28"/>
    </w:rPr>
  </w:style>
  <w:style w:type="paragraph" w:styleId="Antrat3">
    <w:name w:val="heading 3"/>
    <w:basedOn w:val="prastasis"/>
    <w:next w:val="prastasis"/>
    <w:link w:val="Antrat3Diagrama"/>
    <w:uiPriority w:val="9"/>
    <w:semiHidden/>
    <w:unhideWhenUsed/>
    <w:qFormat/>
    <w:rsid w:val="00060A5C"/>
    <w:pPr>
      <w:spacing w:before="200" w:after="0" w:line="271" w:lineRule="auto"/>
      <w:outlineLvl w:val="2"/>
    </w:pPr>
    <w:rPr>
      <w:i/>
      <w:iCs/>
      <w:smallCaps/>
      <w:spacing w:val="5"/>
      <w:sz w:val="26"/>
      <w:szCs w:val="26"/>
    </w:rPr>
  </w:style>
  <w:style w:type="paragraph" w:styleId="Antrat4">
    <w:name w:val="heading 4"/>
    <w:basedOn w:val="prastasis"/>
    <w:next w:val="prastasis"/>
    <w:link w:val="Antrat4Diagrama"/>
    <w:uiPriority w:val="9"/>
    <w:semiHidden/>
    <w:unhideWhenUsed/>
    <w:qFormat/>
    <w:rsid w:val="00060A5C"/>
    <w:pPr>
      <w:spacing w:after="0" w:line="271" w:lineRule="auto"/>
      <w:outlineLvl w:val="3"/>
    </w:pPr>
    <w:rPr>
      <w:b/>
      <w:bCs/>
      <w:spacing w:val="5"/>
      <w:sz w:val="24"/>
      <w:szCs w:val="24"/>
    </w:rPr>
  </w:style>
  <w:style w:type="paragraph" w:styleId="Antrat5">
    <w:name w:val="heading 5"/>
    <w:basedOn w:val="prastasis"/>
    <w:next w:val="prastasis"/>
    <w:link w:val="Antrat5Diagrama"/>
    <w:uiPriority w:val="9"/>
    <w:semiHidden/>
    <w:unhideWhenUsed/>
    <w:qFormat/>
    <w:rsid w:val="00060A5C"/>
    <w:pPr>
      <w:spacing w:after="0" w:line="271" w:lineRule="auto"/>
      <w:outlineLvl w:val="4"/>
    </w:pPr>
    <w:rPr>
      <w:i/>
      <w:iCs/>
      <w:sz w:val="24"/>
      <w:szCs w:val="24"/>
    </w:rPr>
  </w:style>
  <w:style w:type="paragraph" w:styleId="Antrat6">
    <w:name w:val="heading 6"/>
    <w:basedOn w:val="prastasis"/>
    <w:next w:val="prastasis"/>
    <w:link w:val="Antrat6Diagrama"/>
    <w:uiPriority w:val="9"/>
    <w:semiHidden/>
    <w:unhideWhenUsed/>
    <w:qFormat/>
    <w:rsid w:val="00060A5C"/>
    <w:pPr>
      <w:shd w:val="clear" w:color="auto" w:fill="FFFFFF" w:themeFill="background1"/>
      <w:spacing w:after="0" w:line="271" w:lineRule="auto"/>
      <w:outlineLvl w:val="5"/>
    </w:pPr>
    <w:rPr>
      <w:b/>
      <w:bCs/>
      <w:color w:val="595959" w:themeColor="text1" w:themeTint="A6"/>
      <w:spacing w:val="5"/>
    </w:rPr>
  </w:style>
  <w:style w:type="paragraph" w:styleId="Antrat7">
    <w:name w:val="heading 7"/>
    <w:basedOn w:val="prastasis"/>
    <w:next w:val="prastasis"/>
    <w:link w:val="Antrat7Diagrama"/>
    <w:uiPriority w:val="9"/>
    <w:semiHidden/>
    <w:unhideWhenUsed/>
    <w:qFormat/>
    <w:rsid w:val="00060A5C"/>
    <w:pPr>
      <w:spacing w:after="0"/>
      <w:outlineLvl w:val="6"/>
    </w:pPr>
    <w:rPr>
      <w:b/>
      <w:bCs/>
      <w:i/>
      <w:iCs/>
      <w:color w:val="5A5A5A" w:themeColor="text1" w:themeTint="A5"/>
      <w:sz w:val="20"/>
      <w:szCs w:val="20"/>
    </w:rPr>
  </w:style>
  <w:style w:type="paragraph" w:styleId="Antrat8">
    <w:name w:val="heading 8"/>
    <w:basedOn w:val="prastasis"/>
    <w:next w:val="prastasis"/>
    <w:link w:val="Antrat8Diagrama"/>
    <w:uiPriority w:val="9"/>
    <w:semiHidden/>
    <w:unhideWhenUsed/>
    <w:qFormat/>
    <w:rsid w:val="00060A5C"/>
    <w:pPr>
      <w:spacing w:after="0"/>
      <w:outlineLvl w:val="7"/>
    </w:pPr>
    <w:rPr>
      <w:b/>
      <w:bCs/>
      <w:color w:val="7F7F7F" w:themeColor="text1" w:themeTint="80"/>
      <w:sz w:val="20"/>
      <w:szCs w:val="20"/>
    </w:rPr>
  </w:style>
  <w:style w:type="paragraph" w:styleId="Antrat9">
    <w:name w:val="heading 9"/>
    <w:basedOn w:val="prastasis"/>
    <w:next w:val="prastasis"/>
    <w:link w:val="Antrat9Diagrama"/>
    <w:uiPriority w:val="9"/>
    <w:semiHidden/>
    <w:unhideWhenUsed/>
    <w:qFormat/>
    <w:rsid w:val="00060A5C"/>
    <w:pPr>
      <w:spacing w:after="0" w:line="271" w:lineRule="auto"/>
      <w:outlineLvl w:val="8"/>
    </w:pPr>
    <w:rPr>
      <w:b/>
      <w:bCs/>
      <w:i/>
      <w:iCs/>
      <w:color w:val="7F7F7F" w:themeColor="text1" w:themeTint="80"/>
      <w:sz w:val="18"/>
      <w:szCs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60A5C"/>
    <w:rPr>
      <w:smallCaps/>
      <w:spacing w:val="5"/>
      <w:sz w:val="36"/>
      <w:szCs w:val="36"/>
    </w:rPr>
  </w:style>
  <w:style w:type="paragraph" w:customStyle="1" w:styleId="hyperlink">
    <w:name w:val="hyperlink"/>
    <w:basedOn w:val="prastasis"/>
    <w:rsid w:val="00887470"/>
    <w:pPr>
      <w:spacing w:before="280" w:after="280" w:line="240" w:lineRule="auto"/>
    </w:pPr>
    <w:rPr>
      <w:rFonts w:ascii="Times New Roman" w:hAnsi="Times New Roman"/>
    </w:rPr>
  </w:style>
  <w:style w:type="paragraph" w:customStyle="1" w:styleId="Hyperlink1">
    <w:name w:val="Hyperlink1"/>
    <w:basedOn w:val="prastasis"/>
    <w:rsid w:val="00887470"/>
    <w:pPr>
      <w:autoSpaceDE w:val="0"/>
      <w:spacing w:line="292" w:lineRule="auto"/>
      <w:ind w:firstLine="312"/>
      <w:textAlignment w:val="center"/>
    </w:pPr>
    <w:rPr>
      <w:rFonts w:ascii="Times New Roman" w:hAnsi="Times New Roman"/>
      <w:color w:val="000000"/>
      <w:sz w:val="20"/>
      <w:szCs w:val="20"/>
      <w:lang w:val="en-GB"/>
    </w:rPr>
  </w:style>
  <w:style w:type="paragraph" w:styleId="Pagrindinistekstas">
    <w:name w:val="Body Text"/>
    <w:basedOn w:val="prastasis"/>
    <w:link w:val="PagrindinistekstasDiagrama"/>
    <w:rsid w:val="00887470"/>
    <w:pPr>
      <w:spacing w:after="120"/>
    </w:pPr>
  </w:style>
  <w:style w:type="character" w:customStyle="1" w:styleId="PagrindinistekstasDiagrama">
    <w:name w:val="Pagrindinis tekstas Diagrama"/>
    <w:basedOn w:val="Numatytasispastraiposriftas"/>
    <w:link w:val="Pagrindinistekstas"/>
    <w:rsid w:val="00887470"/>
    <w:rPr>
      <w:rFonts w:ascii="TimesLT" w:eastAsia="Times New Roman" w:hAnsi="TimesLT" w:cs="Times New Roman"/>
      <w:sz w:val="24"/>
      <w:szCs w:val="24"/>
      <w:lang w:eastAsia="ar-SA"/>
    </w:rPr>
  </w:style>
  <w:style w:type="table" w:styleId="Lentelstinklelis">
    <w:name w:val="Table Grid"/>
    <w:basedOn w:val="prastojilentel"/>
    <w:uiPriority w:val="59"/>
    <w:rsid w:val="00795F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ntrinispavadinimas">
    <w:name w:val="Subtitle"/>
    <w:basedOn w:val="prastasis"/>
    <w:next w:val="prastasis"/>
    <w:link w:val="AntrinispavadinimasDiagrama"/>
    <w:uiPriority w:val="11"/>
    <w:qFormat/>
    <w:rsid w:val="00060A5C"/>
    <w:rPr>
      <w:i/>
      <w:iCs/>
      <w:smallCaps/>
      <w:spacing w:val="10"/>
      <w:sz w:val="28"/>
      <w:szCs w:val="28"/>
    </w:rPr>
  </w:style>
  <w:style w:type="character" w:customStyle="1" w:styleId="AntrinispavadinimasDiagrama">
    <w:name w:val="Antrinis pavadinimas Diagrama"/>
    <w:basedOn w:val="Numatytasispastraiposriftas"/>
    <w:link w:val="Antrinispavadinimas"/>
    <w:uiPriority w:val="11"/>
    <w:rsid w:val="00060A5C"/>
    <w:rPr>
      <w:i/>
      <w:iCs/>
      <w:smallCaps/>
      <w:spacing w:val="10"/>
      <w:sz w:val="28"/>
      <w:szCs w:val="28"/>
    </w:rPr>
  </w:style>
  <w:style w:type="character" w:customStyle="1" w:styleId="Antrat2Diagrama">
    <w:name w:val="Antraštė 2 Diagrama"/>
    <w:basedOn w:val="Numatytasispastraiposriftas"/>
    <w:link w:val="Antrat2"/>
    <w:uiPriority w:val="9"/>
    <w:rsid w:val="00060A5C"/>
    <w:rPr>
      <w:smallCaps/>
      <w:sz w:val="28"/>
      <w:szCs w:val="28"/>
    </w:rPr>
  </w:style>
  <w:style w:type="character" w:customStyle="1" w:styleId="Antrat3Diagrama">
    <w:name w:val="Antraštė 3 Diagrama"/>
    <w:basedOn w:val="Numatytasispastraiposriftas"/>
    <w:link w:val="Antrat3"/>
    <w:uiPriority w:val="9"/>
    <w:semiHidden/>
    <w:rsid w:val="00060A5C"/>
    <w:rPr>
      <w:i/>
      <w:iCs/>
      <w:smallCaps/>
      <w:spacing w:val="5"/>
      <w:sz w:val="26"/>
      <w:szCs w:val="26"/>
    </w:rPr>
  </w:style>
  <w:style w:type="character" w:customStyle="1" w:styleId="Antrat4Diagrama">
    <w:name w:val="Antraštė 4 Diagrama"/>
    <w:basedOn w:val="Numatytasispastraiposriftas"/>
    <w:link w:val="Antrat4"/>
    <w:uiPriority w:val="9"/>
    <w:semiHidden/>
    <w:rsid w:val="00060A5C"/>
    <w:rPr>
      <w:b/>
      <w:bCs/>
      <w:spacing w:val="5"/>
      <w:sz w:val="24"/>
      <w:szCs w:val="24"/>
    </w:rPr>
  </w:style>
  <w:style w:type="character" w:customStyle="1" w:styleId="Antrat5Diagrama">
    <w:name w:val="Antraštė 5 Diagrama"/>
    <w:basedOn w:val="Numatytasispastraiposriftas"/>
    <w:link w:val="Antrat5"/>
    <w:uiPriority w:val="9"/>
    <w:semiHidden/>
    <w:rsid w:val="00060A5C"/>
    <w:rPr>
      <w:i/>
      <w:iCs/>
      <w:sz w:val="24"/>
      <w:szCs w:val="24"/>
    </w:rPr>
  </w:style>
  <w:style w:type="character" w:customStyle="1" w:styleId="Antrat6Diagrama">
    <w:name w:val="Antraštė 6 Diagrama"/>
    <w:basedOn w:val="Numatytasispastraiposriftas"/>
    <w:link w:val="Antrat6"/>
    <w:uiPriority w:val="9"/>
    <w:semiHidden/>
    <w:rsid w:val="00060A5C"/>
    <w:rPr>
      <w:b/>
      <w:bCs/>
      <w:color w:val="595959" w:themeColor="text1" w:themeTint="A6"/>
      <w:spacing w:val="5"/>
      <w:shd w:val="clear" w:color="auto" w:fill="FFFFFF" w:themeFill="background1"/>
    </w:rPr>
  </w:style>
  <w:style w:type="character" w:customStyle="1" w:styleId="Antrat7Diagrama">
    <w:name w:val="Antraštė 7 Diagrama"/>
    <w:basedOn w:val="Numatytasispastraiposriftas"/>
    <w:link w:val="Antrat7"/>
    <w:uiPriority w:val="9"/>
    <w:semiHidden/>
    <w:rsid w:val="00060A5C"/>
    <w:rPr>
      <w:b/>
      <w:bCs/>
      <w:i/>
      <w:iCs/>
      <w:color w:val="5A5A5A" w:themeColor="text1" w:themeTint="A5"/>
      <w:sz w:val="20"/>
      <w:szCs w:val="20"/>
    </w:rPr>
  </w:style>
  <w:style w:type="character" w:customStyle="1" w:styleId="Antrat8Diagrama">
    <w:name w:val="Antraštė 8 Diagrama"/>
    <w:basedOn w:val="Numatytasispastraiposriftas"/>
    <w:link w:val="Antrat8"/>
    <w:uiPriority w:val="9"/>
    <w:semiHidden/>
    <w:rsid w:val="00060A5C"/>
    <w:rPr>
      <w:b/>
      <w:bCs/>
      <w:color w:val="7F7F7F" w:themeColor="text1" w:themeTint="80"/>
      <w:sz w:val="20"/>
      <w:szCs w:val="20"/>
    </w:rPr>
  </w:style>
  <w:style w:type="character" w:customStyle="1" w:styleId="Antrat9Diagrama">
    <w:name w:val="Antraštė 9 Diagrama"/>
    <w:basedOn w:val="Numatytasispastraiposriftas"/>
    <w:link w:val="Antrat9"/>
    <w:uiPriority w:val="9"/>
    <w:semiHidden/>
    <w:rsid w:val="00060A5C"/>
    <w:rPr>
      <w:b/>
      <w:bCs/>
      <w:i/>
      <w:iCs/>
      <w:color w:val="7F7F7F" w:themeColor="text1" w:themeTint="80"/>
      <w:sz w:val="18"/>
      <w:szCs w:val="18"/>
    </w:rPr>
  </w:style>
  <w:style w:type="paragraph" w:styleId="Pavadinimas">
    <w:name w:val="Title"/>
    <w:basedOn w:val="prastasis"/>
    <w:next w:val="prastasis"/>
    <w:link w:val="PavadinimasDiagrama"/>
    <w:uiPriority w:val="10"/>
    <w:qFormat/>
    <w:rsid w:val="00060A5C"/>
    <w:pPr>
      <w:spacing w:after="300" w:line="240" w:lineRule="auto"/>
      <w:contextualSpacing/>
    </w:pPr>
    <w:rPr>
      <w:smallCaps/>
      <w:sz w:val="52"/>
      <w:szCs w:val="52"/>
    </w:rPr>
  </w:style>
  <w:style w:type="character" w:customStyle="1" w:styleId="PavadinimasDiagrama">
    <w:name w:val="Pavadinimas Diagrama"/>
    <w:basedOn w:val="Numatytasispastraiposriftas"/>
    <w:link w:val="Pavadinimas"/>
    <w:uiPriority w:val="10"/>
    <w:rsid w:val="00060A5C"/>
    <w:rPr>
      <w:smallCaps/>
      <w:sz w:val="52"/>
      <w:szCs w:val="52"/>
    </w:rPr>
  </w:style>
  <w:style w:type="character" w:styleId="Grietas">
    <w:name w:val="Strong"/>
    <w:uiPriority w:val="22"/>
    <w:qFormat/>
    <w:rsid w:val="00060A5C"/>
    <w:rPr>
      <w:b/>
      <w:bCs/>
    </w:rPr>
  </w:style>
  <w:style w:type="character" w:styleId="Emfaz">
    <w:name w:val="Emphasis"/>
    <w:uiPriority w:val="20"/>
    <w:qFormat/>
    <w:rsid w:val="00060A5C"/>
    <w:rPr>
      <w:b/>
      <w:bCs/>
      <w:i/>
      <w:iCs/>
      <w:spacing w:val="10"/>
    </w:rPr>
  </w:style>
  <w:style w:type="paragraph" w:styleId="Betarp">
    <w:name w:val="No Spacing"/>
    <w:basedOn w:val="prastasis"/>
    <w:uiPriority w:val="1"/>
    <w:qFormat/>
    <w:rsid w:val="00060A5C"/>
    <w:pPr>
      <w:spacing w:after="0" w:line="240" w:lineRule="auto"/>
    </w:pPr>
  </w:style>
  <w:style w:type="paragraph" w:styleId="Sraopastraipa">
    <w:name w:val="List Paragraph"/>
    <w:basedOn w:val="prastasis"/>
    <w:uiPriority w:val="34"/>
    <w:qFormat/>
    <w:rsid w:val="00060A5C"/>
    <w:pPr>
      <w:ind w:left="720"/>
      <w:contextualSpacing/>
    </w:pPr>
  </w:style>
  <w:style w:type="paragraph" w:styleId="Citata">
    <w:name w:val="Quote"/>
    <w:basedOn w:val="prastasis"/>
    <w:next w:val="prastasis"/>
    <w:link w:val="CitataDiagrama"/>
    <w:uiPriority w:val="29"/>
    <w:qFormat/>
    <w:rsid w:val="00060A5C"/>
    <w:rPr>
      <w:i/>
      <w:iCs/>
    </w:rPr>
  </w:style>
  <w:style w:type="character" w:customStyle="1" w:styleId="CitataDiagrama">
    <w:name w:val="Citata Diagrama"/>
    <w:basedOn w:val="Numatytasispastraiposriftas"/>
    <w:link w:val="Citata"/>
    <w:uiPriority w:val="29"/>
    <w:rsid w:val="00060A5C"/>
    <w:rPr>
      <w:i/>
      <w:iCs/>
    </w:rPr>
  </w:style>
  <w:style w:type="paragraph" w:styleId="Iskirtacitata">
    <w:name w:val="Intense Quote"/>
    <w:basedOn w:val="prastasis"/>
    <w:next w:val="prastasis"/>
    <w:link w:val="IskirtacitataDiagrama"/>
    <w:uiPriority w:val="30"/>
    <w:qFormat/>
    <w:rsid w:val="00060A5C"/>
    <w:pPr>
      <w:pBdr>
        <w:top w:val="single" w:sz="4" w:space="10" w:color="auto"/>
        <w:bottom w:val="single" w:sz="4" w:space="10" w:color="auto"/>
      </w:pBdr>
      <w:spacing w:before="240" w:after="240" w:line="300" w:lineRule="auto"/>
      <w:ind w:left="1152" w:right="1152"/>
      <w:jc w:val="both"/>
    </w:pPr>
    <w:rPr>
      <w:i/>
      <w:iCs/>
    </w:rPr>
  </w:style>
  <w:style w:type="character" w:customStyle="1" w:styleId="IskirtacitataDiagrama">
    <w:name w:val="Išskirta citata Diagrama"/>
    <w:basedOn w:val="Numatytasispastraiposriftas"/>
    <w:link w:val="Iskirtacitata"/>
    <w:uiPriority w:val="30"/>
    <w:rsid w:val="00060A5C"/>
    <w:rPr>
      <w:i/>
      <w:iCs/>
    </w:rPr>
  </w:style>
  <w:style w:type="character" w:styleId="Nerykuspabrauktasis">
    <w:name w:val="Subtle Emphasis"/>
    <w:uiPriority w:val="19"/>
    <w:qFormat/>
    <w:rsid w:val="00060A5C"/>
    <w:rPr>
      <w:i/>
      <w:iCs/>
    </w:rPr>
  </w:style>
  <w:style w:type="character" w:styleId="Rykuspabrauktasis">
    <w:name w:val="Intense Emphasis"/>
    <w:uiPriority w:val="21"/>
    <w:qFormat/>
    <w:rsid w:val="00060A5C"/>
    <w:rPr>
      <w:b/>
      <w:bCs/>
      <w:i/>
      <w:iCs/>
    </w:rPr>
  </w:style>
  <w:style w:type="character" w:styleId="Nerykinuoroda">
    <w:name w:val="Subtle Reference"/>
    <w:basedOn w:val="Numatytasispastraiposriftas"/>
    <w:uiPriority w:val="31"/>
    <w:qFormat/>
    <w:rsid w:val="00060A5C"/>
    <w:rPr>
      <w:smallCaps/>
    </w:rPr>
  </w:style>
  <w:style w:type="character" w:styleId="Rykinuoroda">
    <w:name w:val="Intense Reference"/>
    <w:uiPriority w:val="32"/>
    <w:qFormat/>
    <w:rsid w:val="00060A5C"/>
    <w:rPr>
      <w:b/>
      <w:bCs/>
      <w:smallCaps/>
    </w:rPr>
  </w:style>
  <w:style w:type="character" w:styleId="Knygospavadinimas">
    <w:name w:val="Book Title"/>
    <w:basedOn w:val="Numatytasispastraiposriftas"/>
    <w:uiPriority w:val="33"/>
    <w:qFormat/>
    <w:rsid w:val="00060A5C"/>
    <w:rPr>
      <w:i/>
      <w:iCs/>
      <w:smallCaps/>
      <w:spacing w:val="5"/>
    </w:rPr>
  </w:style>
  <w:style w:type="paragraph" w:styleId="Turinioantrat">
    <w:name w:val="TOC Heading"/>
    <w:basedOn w:val="Antrat1"/>
    <w:next w:val="prastasis"/>
    <w:uiPriority w:val="39"/>
    <w:semiHidden/>
    <w:unhideWhenUsed/>
    <w:qFormat/>
    <w:rsid w:val="00060A5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as">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5964</Words>
  <Characters>3401</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2015-03-16T14:08:00Z</cp:lastPrinted>
  <dcterms:created xsi:type="dcterms:W3CDTF">2015-03-18T14:56:00Z</dcterms:created>
  <dcterms:modified xsi:type="dcterms:W3CDTF">2015-03-18T14:56:00Z</dcterms:modified>
</cp:coreProperties>
</file>